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center"/>
        <w:rPr>
          <w:b/>
          <w:b/>
          <w:sz w:val="24"/>
          <w:lang w:val="en-GB"/>
        </w:rPr>
      </w:pPr>
      <w:r>
        <w:rPr>
          <w:b/>
          <w:sz w:val="24"/>
          <w:lang w:val="en-GB"/>
        </w:rPr>
        <w:t>Memo issued on behalf of</w:t>
      </w:r>
    </w:p>
    <w:p>
      <w:pPr>
        <w:pStyle w:val="Normal"/>
        <w:jc w:val="center"/>
        <w:rPr>
          <w:b/>
          <w:b/>
          <w:sz w:val="24"/>
          <w:lang w:val="en-GB"/>
        </w:rPr>
      </w:pPr>
      <w:r>
        <w:rPr>
          <w:b/>
          <w:sz w:val="24"/>
          <w:lang w:val="en-GB"/>
        </w:rPr>
        <w:t>National Nuclear Data Center</w:t>
      </w:r>
    </w:p>
    <w:p>
      <w:pPr>
        <w:pStyle w:val="Normal"/>
        <w:jc w:val="center"/>
        <w:rPr>
          <w:b/>
          <w:b/>
          <w:sz w:val="24"/>
          <w:lang w:val="en-GB"/>
        </w:rPr>
      </w:pPr>
      <w:r>
        <w:rPr>
          <w:b/>
          <w:sz w:val="24"/>
          <w:lang w:val="en-GB"/>
        </w:rPr>
        <w:t>Brookhaven National Laboratory</w:t>
      </w:r>
    </w:p>
    <w:p>
      <w:pPr>
        <w:pStyle w:val="Normal"/>
        <w:jc w:val="center"/>
        <w:rPr>
          <w:b/>
          <w:b/>
          <w:sz w:val="24"/>
          <w:lang w:val="en-GB"/>
        </w:rPr>
      </w:pPr>
      <w:r>
        <w:rPr>
          <w:b/>
          <w:sz w:val="24"/>
          <w:lang w:val="en-GB"/>
        </w:rPr>
        <w:t>USA</w:t>
      </w:r>
    </w:p>
    <w:p>
      <w:pPr>
        <w:pStyle w:val="Normal"/>
        <w:jc w:val="center"/>
        <w:rPr>
          <w:b/>
          <w:b/>
          <w:sz w:val="24"/>
          <w:u w:val="single"/>
          <w:lang w:val="en-GB"/>
        </w:rPr>
      </w:pPr>
      <w:r>
        <w:rPr>
          <w:b/>
          <w:sz w:val="24"/>
          <w:u w:val="single"/>
          <w:lang w:val="en-GB"/>
        </w:rPr>
      </w:r>
    </w:p>
    <w:p>
      <w:pPr>
        <w:pStyle w:val="Normal"/>
        <w:jc w:val="center"/>
        <w:rPr>
          <w:b/>
          <w:b/>
          <w:sz w:val="24"/>
          <w:u w:val="single"/>
          <w:lang w:val="en-GB"/>
        </w:rPr>
      </w:pPr>
      <w:r>
        <w:rPr>
          <w:b/>
          <w:sz w:val="24"/>
          <w:u w:val="single"/>
          <w:lang w:val="en-GB"/>
        </w:rPr>
      </w:r>
    </w:p>
    <w:p>
      <w:pPr>
        <w:pStyle w:val="Normal"/>
        <w:jc w:val="center"/>
        <w:rPr/>
      </w:pPr>
      <w:r>
        <w:rPr>
          <w:b/>
          <w:sz w:val="24"/>
          <w:u w:val="single"/>
          <w:lang w:val="en-GB"/>
        </w:rPr>
        <w:t>Memo CP-C/487</w:t>
      </w:r>
    </w:p>
    <w:p>
      <w:pPr>
        <w:pStyle w:val="Normal"/>
        <w:tabs>
          <w:tab w:val="clear" w:pos="720"/>
          <w:tab w:val="left" w:pos="993" w:leader="none"/>
        </w:tabs>
        <w:spacing w:before="0" w:after="60"/>
        <w:jc w:val="both"/>
        <w:rPr/>
      </w:pPr>
      <w:r>
        <w:rPr>
          <w:b/>
          <w:sz w:val="24"/>
          <w:lang w:val="en-GB"/>
        </w:rPr>
        <w:t>Date:</w:t>
      </w:r>
      <w:r>
        <w:rPr>
          <w:sz w:val="24"/>
          <w:lang w:val="en-GB"/>
        </w:rPr>
        <w:tab/>
        <w:tab/>
      </w:r>
      <w:r>
        <w:rPr>
          <w:sz w:val="24"/>
          <w:lang w:val="en-GB"/>
        </w:rPr>
        <w:t>28</w:t>
      </w:r>
      <w:r>
        <w:rPr>
          <w:sz w:val="24"/>
          <w:lang w:val="en-GB"/>
        </w:rPr>
        <w:t xml:space="preserve"> September 2020</w:t>
      </w:r>
    </w:p>
    <w:p>
      <w:pPr>
        <w:pStyle w:val="Normal"/>
        <w:tabs>
          <w:tab w:val="clear" w:pos="720"/>
          <w:tab w:val="left" w:pos="993" w:leader="none"/>
        </w:tabs>
        <w:spacing w:before="0" w:after="60"/>
        <w:jc w:val="both"/>
        <w:rPr/>
      </w:pPr>
      <w:r>
        <w:rPr>
          <w:b/>
          <w:sz w:val="24"/>
          <w:lang w:val="en-GB"/>
        </w:rPr>
        <w:t>To:</w:t>
      </w:r>
      <w:r>
        <w:rPr>
          <w:sz w:val="24"/>
          <w:lang w:val="en-GB"/>
        </w:rPr>
        <w:tab/>
        <w:tab/>
        <w:t>Distribution</w:t>
      </w:r>
    </w:p>
    <w:p>
      <w:pPr>
        <w:pStyle w:val="Normal"/>
        <w:tabs>
          <w:tab w:val="left" w:pos="720" w:leader="none"/>
          <w:tab w:val="left" w:pos="1440" w:leader="none"/>
          <w:tab w:val="left" w:pos="2160" w:leader="none"/>
          <w:tab w:val="left" w:pos="5805" w:leader="none"/>
        </w:tabs>
        <w:rPr/>
      </w:pPr>
      <w:r>
        <w:rPr>
          <w:rFonts w:eastAsia="Courier New" w:cs="Courier New"/>
          <w:b/>
          <w:sz w:val="24"/>
          <w:szCs w:val="24"/>
          <w:lang w:val="en-GB"/>
        </w:rPr>
        <w:t>From:</w:t>
      </w:r>
      <w:r>
        <w:rPr>
          <w:rFonts w:eastAsia="Courier New" w:cs="Courier New"/>
          <w:sz w:val="24"/>
          <w:szCs w:val="24"/>
          <w:lang w:val="en-GB"/>
        </w:rPr>
        <w:tab/>
        <w:tab/>
        <w:t>O. Schwerer, N.Otsuka</w:t>
      </w:r>
    </w:p>
    <w:p>
      <w:pPr>
        <w:pStyle w:val="Normal"/>
        <w:tabs>
          <w:tab w:val="clear" w:pos="720"/>
          <w:tab w:val="left" w:pos="993" w:leader="none"/>
        </w:tabs>
        <w:jc w:val="both"/>
        <w:rPr>
          <w:rFonts w:eastAsia="Courier New" w:cs="Courier New"/>
          <w:sz w:val="24"/>
          <w:szCs w:val="24"/>
          <w:lang w:val="en-GB"/>
        </w:rPr>
      </w:pPr>
      <w:r>
        <w:rPr>
          <w:rFonts w:eastAsia="Courier New" w:cs="Courier New"/>
          <w:sz w:val="24"/>
          <w:szCs w:val="24"/>
          <w:lang w:val="en-GB"/>
        </w:rPr>
      </w:r>
    </w:p>
    <w:p>
      <w:pPr>
        <w:pStyle w:val="Normal"/>
        <w:tabs>
          <w:tab w:val="clear" w:pos="720"/>
          <w:tab w:val="left" w:pos="993" w:leader="none"/>
        </w:tabs>
        <w:jc w:val="both"/>
        <w:rPr/>
      </w:pPr>
      <w:r>
        <w:rPr>
          <w:b/>
          <w:sz w:val="24"/>
          <w:lang w:val="en-GB"/>
        </w:rPr>
        <w:t>Subject:</w:t>
      </w:r>
      <w:r>
        <w:rPr>
          <w:sz w:val="24"/>
          <w:lang w:val="en-GB"/>
        </w:rPr>
        <w:tab/>
        <w:tab/>
      </w:r>
      <w:r>
        <w:rPr>
          <w:b/>
          <w:bCs/>
          <w:sz w:val="24"/>
          <w:lang w:val="en-GB"/>
        </w:rPr>
        <w:t xml:space="preserve">Additions to dictionary 236 (Quantities):  </w:t>
      </w:r>
      <w:r>
        <w:rPr>
          <w:b/>
          <w:bCs/>
          <w:color w:val="000000"/>
          <w:sz w:val="24"/>
          <w:lang w:val="en-GB"/>
        </w:rPr>
        <w:t>,DA/DA,*/*+*  and</w:t>
      </w:r>
    </w:p>
    <w:p>
      <w:pPr>
        <w:pStyle w:val="Normal"/>
        <w:tabs>
          <w:tab w:val="clear" w:pos="720"/>
          <w:tab w:val="left" w:pos="993" w:leader="none"/>
        </w:tabs>
        <w:jc w:val="both"/>
        <w:rPr/>
      </w:pPr>
      <w:r>
        <w:rPr>
          <w:b/>
          <w:bCs/>
          <w:color w:val="000000"/>
          <w:sz w:val="24"/>
          <w:lang w:val="en-GB"/>
        </w:rPr>
        <w:tab/>
        <w:tab/>
        <w:t>,DA/DA/DE,*/*+*/* and related questions</w:t>
      </w:r>
    </w:p>
    <w:p>
      <w:pPr>
        <w:pStyle w:val="Normal"/>
        <w:tabs>
          <w:tab w:val="clear" w:pos="720"/>
          <w:tab w:val="left" w:pos="993" w:leader="none"/>
        </w:tabs>
        <w:ind w:left="720" w:hanging="0"/>
        <w:jc w:val="both"/>
        <w:rPr/>
      </w:pPr>
      <w:r>
        <w:rPr>
          <w:b/>
          <w:bCs/>
          <w:color w:val="000000"/>
          <w:sz w:val="24"/>
          <w:lang w:val="en-GB"/>
        </w:rPr>
        <w:tab/>
        <w:tab/>
        <w:tab/>
        <w:tab/>
        <w:tab/>
        <w:tab/>
        <w:tab/>
        <w:tab/>
      </w:r>
    </w:p>
    <w:p>
      <w:pPr>
        <w:pStyle w:val="Normal"/>
        <w:tabs>
          <w:tab w:val="clear" w:pos="720"/>
          <w:tab w:val="left" w:pos="993" w:leader="none"/>
        </w:tabs>
        <w:jc w:val="both"/>
        <w:rPr/>
      </w:pPr>
      <w:r>
        <w:rPr>
          <w:b/>
          <w:bCs/>
          <w:sz w:val="24"/>
          <w:lang w:val="en-GB"/>
        </w:rPr>
        <w:tab/>
        <w:tab/>
        <w:tab/>
        <w:tab/>
        <w:tab/>
        <w:tab/>
        <w:tab/>
        <w:t xml:space="preserve">   </w:t>
        <w:tab/>
      </w:r>
    </w:p>
    <w:p>
      <w:pPr>
        <w:pStyle w:val="Normal"/>
        <w:tabs>
          <w:tab w:val="clear" w:pos="720"/>
          <w:tab w:val="left" w:pos="993" w:leader="none"/>
        </w:tabs>
        <w:jc w:val="both"/>
        <w:rPr/>
      </w:pPr>
      <w:r>
        <w:rPr>
          <w:sz w:val="24"/>
          <w:szCs w:val="24"/>
          <w:lang w:val="en-GB"/>
        </w:rPr>
        <w:t xml:space="preserve">We propose the quantities </w:t>
      </w:r>
      <w:r>
        <w:rPr>
          <w:color w:val="000000"/>
          <w:sz w:val="24"/>
          <w:szCs w:val="24"/>
          <w:lang w:val="en-GB"/>
        </w:rPr>
        <w:t>,DA/DA,*/*+*  and ,DA/DA/DE,*/*+*/* containing new wild card combinations in SF7 for these SF6 parameters, for addition to dictionary 236.</w:t>
      </w:r>
    </w:p>
    <w:p>
      <w:pPr>
        <w:pStyle w:val="Normal"/>
        <w:tabs>
          <w:tab w:val="clear" w:pos="720"/>
          <w:tab w:val="left" w:pos="993" w:leader="none"/>
        </w:tabs>
        <w:jc w:val="both"/>
        <w:rPr>
          <w:sz w:val="24"/>
          <w:szCs w:val="24"/>
          <w:lang w:val="en-GB"/>
        </w:rPr>
      </w:pPr>
      <w:r>
        <w:rPr>
          <w:sz w:val="24"/>
          <w:szCs w:val="24"/>
          <w:lang w:val="en-GB"/>
        </w:rPr>
        <w:t xml:space="preserve"> </w:t>
      </w:r>
    </w:p>
    <w:p>
      <w:pPr>
        <w:pStyle w:val="Normal"/>
        <w:tabs>
          <w:tab w:val="clear" w:pos="720"/>
          <w:tab w:val="left" w:pos="993" w:leader="none"/>
        </w:tabs>
        <w:jc w:val="both"/>
        <w:rPr/>
      </w:pPr>
      <w:r>
        <w:rPr>
          <w:b/>
          <w:sz w:val="24"/>
          <w:szCs w:val="24"/>
          <w:lang w:val="en-GB"/>
        </w:rPr>
        <w:t>References:</w:t>
      </w:r>
    </w:p>
    <w:p>
      <w:pPr>
        <w:pStyle w:val="Normal"/>
        <w:tabs>
          <w:tab w:val="clear" w:pos="720"/>
          <w:tab w:val="left" w:pos="993" w:leader="none"/>
        </w:tabs>
        <w:jc w:val="both"/>
        <w:rPr>
          <w:sz w:val="24"/>
          <w:szCs w:val="24"/>
        </w:rPr>
      </w:pPr>
      <w:r>
        <w:rPr>
          <w:rFonts w:eastAsia="Courier New" w:cs="Courier New" w:ascii="Courier New" w:hAnsi="Courier New"/>
          <w:color w:val="000000"/>
          <w:sz w:val="24"/>
          <w:szCs w:val="24"/>
          <w:lang w:val="de-DE"/>
        </w:rPr>
        <w:t>W.G.Meyer</w:t>
      </w:r>
      <w:r>
        <w:rPr>
          <w:rFonts w:eastAsia="Courier New" w:cs="Courier New" w:ascii="Courier New" w:hAnsi="Courier New"/>
          <w:color w:val="000000"/>
          <w:sz w:val="24"/>
          <w:szCs w:val="24"/>
          <w:lang w:val="en-GB"/>
        </w:rPr>
        <w:t xml:space="preserve"> et al., </w:t>
      </w:r>
      <w:r>
        <w:rPr>
          <w:rFonts w:eastAsia="Courier New" w:cs="Courier New" w:ascii="Courier New" w:hAnsi="Courier New"/>
          <w:color w:val="000000"/>
          <w:sz w:val="24"/>
          <w:szCs w:val="24"/>
          <w:lang w:val="de-DE"/>
        </w:rPr>
        <w:t xml:space="preserve">PR/C,20,1716,1979 </w:t>
      </w:r>
      <w:r>
        <w:rPr>
          <w:rFonts w:eastAsia="Courier New" w:cs="Courier New"/>
          <w:color w:val="000000"/>
          <w:sz w:val="24"/>
          <w:szCs w:val="24"/>
          <w:lang w:val="de-DE"/>
        </w:rPr>
        <w:t>(Exfor C2493)</w:t>
      </w:r>
    </w:p>
    <w:p>
      <w:pPr>
        <w:pStyle w:val="Normal"/>
        <w:tabs>
          <w:tab w:val="clear" w:pos="720"/>
          <w:tab w:val="left" w:pos="993" w:leader="none"/>
        </w:tabs>
        <w:jc w:val="both"/>
        <w:rPr>
          <w:sz w:val="24"/>
          <w:szCs w:val="24"/>
        </w:rPr>
      </w:pPr>
      <w:r>
        <w:rPr>
          <w:rFonts w:eastAsia="Courier New" w:cs="Courier New" w:ascii="Courier New" w:hAnsi="Courier New"/>
          <w:color w:val="000000"/>
          <w:sz w:val="24"/>
          <w:szCs w:val="24"/>
          <w:lang w:val="de-DE"/>
        </w:rPr>
        <w:t xml:space="preserve">J.R.Wu et al., PR/C,24,500,1981 </w:t>
      </w:r>
      <w:r>
        <w:rPr>
          <w:rFonts w:eastAsia="Courier New" w:cs="Courier New"/>
          <w:color w:val="000000"/>
          <w:sz w:val="24"/>
          <w:szCs w:val="24"/>
          <w:lang w:val="de-DE"/>
        </w:rPr>
        <w:t>(Exfor C2495)</w:t>
      </w:r>
    </w:p>
    <w:p>
      <w:pPr>
        <w:pStyle w:val="Normal"/>
        <w:tabs>
          <w:tab w:val="clear" w:pos="720"/>
          <w:tab w:val="left" w:pos="993" w:leader="none"/>
        </w:tabs>
        <w:jc w:val="both"/>
        <w:rPr>
          <w:sz w:val="24"/>
          <w:szCs w:val="24"/>
        </w:rPr>
      </w:pPr>
      <w:r>
        <w:rPr>
          <w:rFonts w:eastAsia="Courier New" w:cs="Courier New" w:ascii="Courier New" w:hAnsi="Courier New"/>
          <w:color w:val="000000"/>
          <w:sz w:val="24"/>
          <w:szCs w:val="24"/>
          <w:lang w:val="de-DE"/>
        </w:rPr>
        <w:t xml:space="preserve">S.B.Kaufman et al., PR/C,26,2694,1982  </w:t>
      </w:r>
      <w:r>
        <w:rPr>
          <w:rFonts w:eastAsia="Courier New" w:cs="Courier New"/>
          <w:color w:val="000000"/>
          <w:sz w:val="24"/>
          <w:szCs w:val="24"/>
          <w:lang w:val="de-DE"/>
        </w:rPr>
        <w:t xml:space="preserve">(Exfor C2496) </w:t>
      </w:r>
      <w:r>
        <w:rPr>
          <w:rFonts w:eastAsia="Courier New" w:cs="Courier New" w:ascii="Courier New" w:hAnsi="Courier New"/>
          <w:color w:val="000000"/>
          <w:sz w:val="24"/>
          <w:szCs w:val="24"/>
          <w:lang w:val="en-GB"/>
        </w:rPr>
        <w:t xml:space="preserve"> </w:t>
      </w:r>
    </w:p>
    <w:p>
      <w:pPr>
        <w:pStyle w:val="Normal"/>
        <w:tabs>
          <w:tab w:val="clear" w:pos="720"/>
          <w:tab w:val="left" w:pos="993" w:leader="none"/>
        </w:tabs>
        <w:jc w:val="both"/>
        <w:rPr>
          <w:rFonts w:ascii="Courier New" w:hAnsi="Courier New" w:eastAsia="Courier New" w:cs="Courier New"/>
          <w:color w:val="0070C0"/>
          <w:sz w:val="24"/>
          <w:szCs w:val="24"/>
          <w:lang w:val="en-GB"/>
        </w:rPr>
      </w:pPr>
      <w:r>
        <w:rPr>
          <w:rFonts w:eastAsia="Courier New" w:cs="Courier New" w:ascii="Courier New" w:hAnsi="Courier New"/>
          <w:color w:val="0070C0"/>
          <w:sz w:val="24"/>
          <w:szCs w:val="24"/>
          <w:lang w:val="en-GB"/>
        </w:rPr>
      </w:r>
    </w:p>
    <w:p>
      <w:pPr>
        <w:pStyle w:val="Normal"/>
        <w:tabs>
          <w:tab w:val="clear" w:pos="720"/>
          <w:tab w:val="left" w:pos="993" w:leader="none"/>
        </w:tabs>
        <w:spacing w:lineRule="atLeast" w:line="100"/>
        <w:jc w:val="both"/>
        <w:rPr>
          <w:b/>
          <w:b/>
          <w:sz w:val="24"/>
          <w:szCs w:val="24"/>
          <w:u w:val="single"/>
          <w:lang w:val="en-GB"/>
        </w:rPr>
      </w:pPr>
      <w:r>
        <w:rPr>
          <w:b/>
          <w:sz w:val="24"/>
          <w:szCs w:val="24"/>
          <w:u w:val="single"/>
          <w:lang w:val="en-GB"/>
        </w:rPr>
        <w:t>Additions to Dictionary 236 (Quantities)</w:t>
      </w:r>
    </w:p>
    <w:p>
      <w:pPr>
        <w:pStyle w:val="Normal"/>
        <w:tabs>
          <w:tab w:val="clear" w:pos="720"/>
          <w:tab w:val="left" w:pos="993" w:leader="none"/>
        </w:tabs>
        <w:jc w:val="both"/>
        <w:rPr>
          <w:b/>
          <w:b/>
          <w:sz w:val="24"/>
          <w:szCs w:val="24"/>
          <w:u w:val="single"/>
          <w:lang w:val="en-GB"/>
        </w:rPr>
      </w:pPr>
      <w:r>
        <w:rPr>
          <w:b/>
          <w:sz w:val="24"/>
          <w:szCs w:val="24"/>
          <w:u w:val="single"/>
          <w:lang w:val="en-GB"/>
        </w:rPr>
      </w:r>
    </w:p>
    <w:tbl>
      <w:tblPr>
        <w:tblW w:w="10180" w:type="dxa"/>
        <w:jc w:val="left"/>
        <w:tblInd w:w="0" w:type="dxa"/>
        <w:tblCellMar>
          <w:top w:w="0" w:type="dxa"/>
          <w:left w:w="108" w:type="dxa"/>
          <w:bottom w:w="0" w:type="dxa"/>
          <w:right w:w="108" w:type="dxa"/>
        </w:tblCellMar>
        <w:tblLook w:firstRow="1" w:noVBand="1" w:lastRow="0" w:firstColumn="1" w:lastColumn="0" w:noHBand="0" w:val="04a0"/>
      </w:tblPr>
      <w:tblGrid>
        <w:gridCol w:w="2865"/>
        <w:gridCol w:w="1152"/>
        <w:gridCol w:w="800"/>
        <w:gridCol w:w="3388"/>
        <w:gridCol w:w="1975"/>
      </w:tblGrid>
      <w:tr>
        <w:trPr>
          <w:trHeight w:val="630" w:hRule="atLeast"/>
        </w:trPr>
        <w:tc>
          <w:tcPr>
            <w:tcW w:w="2865" w:type="dxa"/>
            <w:tcBorders>
              <w:top w:val="single" w:sz="4" w:space="0" w:color="000000"/>
              <w:left w:val="single" w:sz="4" w:space="0" w:color="000000"/>
              <w:bottom w:val="single" w:sz="4" w:space="0" w:color="000000"/>
            </w:tcBorders>
            <w:shd w:color="auto" w:fill="auto" w:val="clear"/>
          </w:tcPr>
          <w:p>
            <w:pPr>
              <w:pStyle w:val="Normal"/>
              <w:snapToGrid w:val="false"/>
              <w:rPr>
                <w:b/>
                <w:b/>
                <w:sz w:val="24"/>
                <w:szCs w:val="24"/>
                <w:lang w:val="en-GB"/>
              </w:rPr>
            </w:pPr>
            <w:r>
              <w:rPr>
                <w:b/>
                <w:sz w:val="24"/>
                <w:szCs w:val="24"/>
                <w:lang w:val="en-GB"/>
              </w:rPr>
              <w:t>Quantity</w:t>
            </w:r>
          </w:p>
        </w:tc>
        <w:tc>
          <w:tcPr>
            <w:tcW w:w="1152" w:type="dxa"/>
            <w:tcBorders>
              <w:top w:val="single" w:sz="4" w:space="0" w:color="000000"/>
              <w:left w:val="single" w:sz="4" w:space="0" w:color="000000"/>
              <w:bottom w:val="single" w:sz="4" w:space="0" w:color="000000"/>
            </w:tcBorders>
            <w:shd w:color="auto" w:fill="auto" w:val="clear"/>
          </w:tcPr>
          <w:p>
            <w:pPr>
              <w:pStyle w:val="Normal"/>
              <w:snapToGrid w:val="false"/>
              <w:rPr>
                <w:b/>
                <w:b/>
                <w:sz w:val="24"/>
                <w:szCs w:val="24"/>
                <w:lang w:val="en-GB"/>
              </w:rPr>
            </w:pPr>
            <w:r>
              <w:rPr>
                <w:b/>
                <w:sz w:val="24"/>
                <w:szCs w:val="24"/>
                <w:lang w:val="en-GB"/>
              </w:rPr>
              <w:t>Reaction Type</w:t>
            </w:r>
          </w:p>
        </w:tc>
        <w:tc>
          <w:tcPr>
            <w:tcW w:w="800" w:type="dxa"/>
            <w:tcBorders>
              <w:top w:val="single" w:sz="4" w:space="0" w:color="000000"/>
              <w:left w:val="single" w:sz="4" w:space="0" w:color="000000"/>
              <w:bottom w:val="single" w:sz="4" w:space="0" w:color="000000"/>
            </w:tcBorders>
            <w:shd w:color="auto" w:fill="auto" w:val="clear"/>
          </w:tcPr>
          <w:p>
            <w:pPr>
              <w:pStyle w:val="Normal"/>
              <w:snapToGrid w:val="false"/>
              <w:rPr>
                <w:b/>
                <w:b/>
                <w:sz w:val="24"/>
                <w:szCs w:val="24"/>
                <w:lang w:val="en-GB"/>
              </w:rPr>
            </w:pPr>
            <w:r>
              <w:rPr>
                <w:b/>
                <w:sz w:val="24"/>
                <w:szCs w:val="24"/>
                <w:lang w:val="en-GB"/>
              </w:rPr>
              <w:t>Dim.</w:t>
            </w:r>
          </w:p>
        </w:tc>
        <w:tc>
          <w:tcPr>
            <w:tcW w:w="3388" w:type="dxa"/>
            <w:tcBorders>
              <w:top w:val="single" w:sz="4" w:space="0" w:color="000000"/>
              <w:left w:val="single" w:sz="4" w:space="0" w:color="000000"/>
              <w:bottom w:val="single" w:sz="4" w:space="0" w:color="000000"/>
            </w:tcBorders>
            <w:shd w:color="auto" w:fill="auto" w:val="clear"/>
          </w:tcPr>
          <w:p>
            <w:pPr>
              <w:pStyle w:val="Normal"/>
              <w:snapToGrid w:val="false"/>
              <w:jc w:val="center"/>
              <w:rPr>
                <w:b/>
                <w:b/>
                <w:sz w:val="24"/>
                <w:szCs w:val="24"/>
                <w:lang w:val="en-GB"/>
              </w:rPr>
            </w:pPr>
            <w:r>
              <w:rPr>
                <w:b/>
                <w:sz w:val="24"/>
                <w:szCs w:val="24"/>
                <w:lang w:val="en-GB"/>
              </w:rPr>
              <w:t>Expansion</w:t>
            </w:r>
          </w:p>
        </w:tc>
        <w:tc>
          <w:tcPr>
            <w:tcW w:w="1975"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rPr>
                <w:b/>
                <w:b/>
                <w:sz w:val="24"/>
                <w:szCs w:val="24"/>
                <w:lang w:val="en-GB"/>
              </w:rPr>
            </w:pPr>
            <w:r>
              <w:rPr>
                <w:b/>
                <w:sz w:val="24"/>
                <w:szCs w:val="24"/>
                <w:lang w:val="en-GB"/>
              </w:rPr>
              <w:t>Subentries</w:t>
            </w:r>
          </w:p>
          <w:p>
            <w:pPr>
              <w:pStyle w:val="Normal"/>
              <w:snapToGrid w:val="false"/>
              <w:rPr>
                <w:b/>
                <w:b/>
                <w:sz w:val="24"/>
                <w:szCs w:val="24"/>
                <w:lang w:val="en-GB"/>
              </w:rPr>
            </w:pPr>
            <w:r>
              <w:rPr>
                <w:b/>
                <w:sz w:val="24"/>
                <w:szCs w:val="24"/>
                <w:lang w:val="en-GB"/>
              </w:rPr>
            </w:r>
          </w:p>
        </w:tc>
      </w:tr>
      <w:tr>
        <w:trPr>
          <w:trHeight w:val="218" w:hRule="atLeast"/>
        </w:trPr>
        <w:tc>
          <w:tcPr>
            <w:tcW w:w="2865" w:type="dxa"/>
            <w:tcBorders>
              <w:left w:val="single" w:sz="4" w:space="0" w:color="000000"/>
              <w:bottom w:val="single" w:sz="4" w:space="0" w:color="000000"/>
            </w:tcBorders>
            <w:shd w:color="auto" w:fill="auto" w:val="clear"/>
          </w:tcPr>
          <w:p>
            <w:pPr>
              <w:pStyle w:val="Normal"/>
              <w:tabs>
                <w:tab w:val="clear" w:pos="720"/>
                <w:tab w:val="left" w:pos="993" w:leader="none"/>
              </w:tabs>
              <w:snapToGrid w:val="false"/>
              <w:jc w:val="both"/>
              <w:rPr>
                <w:sz w:val="24"/>
                <w:szCs w:val="24"/>
              </w:rPr>
            </w:pPr>
            <w:r>
              <w:rPr>
                <w:rFonts w:eastAsia="Courier New" w:cs="Courier New" w:ascii="Courier New" w:hAnsi="Courier New"/>
                <w:color w:val="000000"/>
                <w:sz w:val="24"/>
                <w:szCs w:val="24"/>
                <w:lang w:val="en-GB"/>
              </w:rPr>
              <w:t>,DA/DA,*/*+*</w:t>
            </w:r>
          </w:p>
        </w:tc>
        <w:tc>
          <w:tcPr>
            <w:tcW w:w="1152" w:type="dxa"/>
            <w:tcBorders>
              <w:left w:val="single" w:sz="4" w:space="0" w:color="000000"/>
              <w:bottom w:val="single" w:sz="4" w:space="0" w:color="000000"/>
            </w:tcBorders>
            <w:shd w:color="auto" w:fill="auto" w:val="clear"/>
          </w:tcPr>
          <w:p>
            <w:pPr>
              <w:pStyle w:val="Normal"/>
              <w:snapToGrid w:val="false"/>
              <w:rPr>
                <w:sz w:val="24"/>
                <w:szCs w:val="24"/>
              </w:rPr>
            </w:pPr>
            <w:r>
              <w:rPr>
                <w:rFonts w:cs="Courier New" w:ascii="Courier New" w:hAnsi="Courier New"/>
                <w:color w:val="000000"/>
                <w:sz w:val="24"/>
                <w:szCs w:val="24"/>
                <w:lang w:val="en-GB"/>
              </w:rPr>
              <w:t>DAA</w:t>
            </w:r>
          </w:p>
        </w:tc>
        <w:tc>
          <w:tcPr>
            <w:tcW w:w="800" w:type="dxa"/>
            <w:tcBorders>
              <w:left w:val="single" w:sz="4" w:space="0" w:color="000000"/>
              <w:bottom w:val="single" w:sz="4" w:space="0" w:color="000000"/>
            </w:tcBorders>
            <w:shd w:color="auto" w:fill="auto" w:val="clear"/>
          </w:tcPr>
          <w:p>
            <w:pPr>
              <w:pStyle w:val="Normal"/>
              <w:snapToGrid w:val="false"/>
              <w:rPr>
                <w:sz w:val="24"/>
                <w:szCs w:val="24"/>
              </w:rPr>
            </w:pPr>
            <w:r>
              <w:rPr>
                <w:rFonts w:eastAsia="Courier New" w:cs="Courier New" w:ascii="Courier New" w:hAnsi="Courier New"/>
                <w:color w:val="000000"/>
                <w:sz w:val="24"/>
                <w:szCs w:val="24"/>
                <w:lang w:val="en-GB"/>
              </w:rPr>
              <w:t>DA2</w:t>
            </w:r>
          </w:p>
        </w:tc>
        <w:tc>
          <w:tcPr>
            <w:tcW w:w="3388" w:type="dxa"/>
            <w:tcBorders>
              <w:left w:val="single" w:sz="4" w:space="0" w:color="000000"/>
              <w:bottom w:val="single" w:sz="4" w:space="0" w:color="000000"/>
            </w:tcBorders>
            <w:shd w:color="auto" w:fill="auto" w:val="clear"/>
          </w:tcPr>
          <w:p>
            <w:pPr>
              <w:pStyle w:val="Normal"/>
              <w:snapToGrid w:val="false"/>
              <w:rPr>
                <w:sz w:val="24"/>
                <w:szCs w:val="24"/>
              </w:rPr>
            </w:pPr>
            <w:r>
              <w:rPr>
                <w:rFonts w:cs="Courier New" w:ascii="Courier New" w:hAnsi="Courier New"/>
                <w:color w:val="000000"/>
                <w:sz w:val="22"/>
                <w:szCs w:val="24"/>
                <w:lang w:val="de-DE"/>
              </w:rPr>
              <w:t>Angular correl.betw.specif.</w:t>
            </w:r>
          </w:p>
          <w:p>
            <w:pPr>
              <w:pStyle w:val="Normal"/>
              <w:snapToGrid w:val="false"/>
              <w:rPr>
                <w:rFonts w:ascii="Courier New" w:hAnsi="Courier New" w:cs="Courier New"/>
                <w:color w:val="000000"/>
                <w:lang w:val="en-GB"/>
              </w:rPr>
            </w:pPr>
            <w:r>
              <w:rPr>
                <w:rFonts w:cs="Courier New" w:ascii="Courier New" w:hAnsi="Courier New"/>
                <w:color w:val="000000"/>
                <w:sz w:val="22"/>
                <w:szCs w:val="24"/>
                <w:lang w:val="de-DE"/>
              </w:rPr>
              <w:t>particles,rel.angle</w:t>
            </w:r>
          </w:p>
        </w:tc>
        <w:tc>
          <w:tcPr>
            <w:tcW w:w="1975" w:type="dxa"/>
            <w:tcBorders>
              <w:left w:val="single" w:sz="4" w:space="0" w:color="000000"/>
              <w:bottom w:val="single" w:sz="4" w:space="0" w:color="000000"/>
              <w:right w:val="single" w:sz="4" w:space="0" w:color="000000"/>
            </w:tcBorders>
            <w:shd w:color="auto" w:fill="auto" w:val="clear"/>
          </w:tcPr>
          <w:p>
            <w:pPr>
              <w:pStyle w:val="Normal"/>
              <w:snapToGrid w:val="false"/>
              <w:rPr>
                <w:sz w:val="24"/>
                <w:szCs w:val="24"/>
              </w:rPr>
            </w:pPr>
            <w:r>
              <w:rPr>
                <w:rFonts w:eastAsia="Courier New" w:cs="Courier New" w:ascii="Courier New" w:hAnsi="Courier New"/>
                <w:color w:val="000000"/>
                <w:sz w:val="24"/>
                <w:szCs w:val="24"/>
                <w:lang w:val="en-GB"/>
              </w:rPr>
              <w:t>C2493.002-007, C2496.002-009</w:t>
            </w:r>
          </w:p>
        </w:tc>
      </w:tr>
      <w:tr>
        <w:trPr>
          <w:trHeight w:val="218" w:hRule="atLeast"/>
        </w:trPr>
        <w:tc>
          <w:tcPr>
            <w:tcW w:w="2865" w:type="dxa"/>
            <w:tcBorders>
              <w:left w:val="single" w:sz="4" w:space="0" w:color="000000"/>
              <w:bottom w:val="single" w:sz="4" w:space="0" w:color="000000"/>
            </w:tcBorders>
            <w:shd w:color="auto" w:fill="auto" w:val="clear"/>
          </w:tcPr>
          <w:p>
            <w:pPr>
              <w:pStyle w:val="Normal"/>
              <w:tabs>
                <w:tab w:val="clear" w:pos="720"/>
                <w:tab w:val="left" w:pos="993" w:leader="none"/>
              </w:tabs>
              <w:snapToGrid w:val="false"/>
              <w:jc w:val="both"/>
              <w:rPr>
                <w:rFonts w:ascii="Courier New" w:hAnsi="Courier New"/>
                <w:sz w:val="24"/>
                <w:szCs w:val="24"/>
              </w:rPr>
            </w:pPr>
            <w:r>
              <w:rPr>
                <w:rFonts w:ascii="Courier New" w:hAnsi="Courier New"/>
                <w:color w:val="000000"/>
                <w:sz w:val="24"/>
                <w:szCs w:val="24"/>
                <w:lang w:val="en-GB"/>
              </w:rPr>
              <w:t>,DA/DA/DE,*/*+*/*</w:t>
            </w:r>
          </w:p>
        </w:tc>
        <w:tc>
          <w:tcPr>
            <w:tcW w:w="1152" w:type="dxa"/>
            <w:tcBorders>
              <w:left w:val="single" w:sz="4" w:space="0" w:color="000000"/>
              <w:bottom w:val="single" w:sz="4" w:space="0" w:color="000000"/>
            </w:tcBorders>
            <w:shd w:color="auto" w:fill="auto" w:val="clear"/>
          </w:tcPr>
          <w:p>
            <w:pPr>
              <w:pStyle w:val="Normal"/>
              <w:snapToGrid w:val="false"/>
              <w:rPr>
                <w:rFonts w:ascii="Courier New" w:hAnsi="Courier New"/>
                <w:sz w:val="24"/>
                <w:szCs w:val="24"/>
              </w:rPr>
            </w:pPr>
            <w:r>
              <w:rPr>
                <w:rFonts w:ascii="Courier New" w:hAnsi="Courier New"/>
                <w:sz w:val="24"/>
                <w:szCs w:val="24"/>
              </w:rPr>
              <w:t>D3A</w:t>
            </w:r>
          </w:p>
        </w:tc>
        <w:tc>
          <w:tcPr>
            <w:tcW w:w="800" w:type="dxa"/>
            <w:tcBorders>
              <w:left w:val="single" w:sz="4" w:space="0" w:color="000000"/>
              <w:bottom w:val="single" w:sz="4" w:space="0" w:color="000000"/>
            </w:tcBorders>
            <w:shd w:color="auto" w:fill="auto" w:val="clear"/>
          </w:tcPr>
          <w:p>
            <w:pPr>
              <w:pStyle w:val="Normal"/>
              <w:snapToGrid w:val="false"/>
              <w:rPr>
                <w:rFonts w:ascii="Courier New" w:hAnsi="Courier New"/>
                <w:sz w:val="24"/>
                <w:szCs w:val="24"/>
              </w:rPr>
            </w:pPr>
            <w:r>
              <w:rPr>
                <w:rFonts w:ascii="Courier New" w:hAnsi="Courier New"/>
                <w:sz w:val="24"/>
                <w:szCs w:val="24"/>
              </w:rPr>
              <w:t>D3A</w:t>
            </w:r>
          </w:p>
        </w:tc>
        <w:tc>
          <w:tcPr>
            <w:tcW w:w="3388" w:type="dxa"/>
            <w:tcBorders>
              <w:left w:val="single" w:sz="4" w:space="0" w:color="000000"/>
              <w:bottom w:val="single" w:sz="4" w:space="0" w:color="000000"/>
            </w:tcBorders>
            <w:shd w:color="auto" w:fill="auto" w:val="clear"/>
          </w:tcPr>
          <w:p>
            <w:pPr>
              <w:pStyle w:val="Normal"/>
              <w:snapToGrid w:val="false"/>
              <w:rPr>
                <w:sz w:val="24"/>
                <w:szCs w:val="24"/>
              </w:rPr>
            </w:pPr>
            <w:r>
              <w:rPr>
                <w:rFonts w:ascii="Courier New" w:hAnsi="Courier New"/>
                <w:sz w:val="22"/>
                <w:szCs w:val="24"/>
                <w:lang w:val="de-DE"/>
              </w:rPr>
              <w:t>Triple diff.cs d3/dA(*)/dA(*+*)/dE</w:t>
            </w:r>
          </w:p>
        </w:tc>
        <w:tc>
          <w:tcPr>
            <w:tcW w:w="1975" w:type="dxa"/>
            <w:tcBorders>
              <w:left w:val="single" w:sz="4" w:space="0" w:color="000000"/>
              <w:bottom w:val="single" w:sz="4" w:space="0" w:color="000000"/>
              <w:right w:val="single" w:sz="4" w:space="0" w:color="000000"/>
            </w:tcBorders>
            <w:shd w:color="auto" w:fill="auto" w:val="clear"/>
          </w:tcPr>
          <w:p>
            <w:pPr>
              <w:pStyle w:val="Normal"/>
              <w:snapToGrid w:val="false"/>
              <w:rPr>
                <w:rFonts w:ascii="Courier New" w:hAnsi="Courier New"/>
                <w:sz w:val="24"/>
                <w:szCs w:val="24"/>
              </w:rPr>
            </w:pPr>
            <w:r>
              <w:rPr>
                <w:rFonts w:ascii="Courier New" w:hAnsi="Courier New"/>
                <w:sz w:val="24"/>
                <w:szCs w:val="24"/>
              </w:rPr>
              <w:t>C2495.003</w:t>
            </w:r>
          </w:p>
        </w:tc>
      </w:tr>
    </w:tbl>
    <w:p>
      <w:pPr>
        <w:pStyle w:val="Normal"/>
        <w:spacing w:before="0" w:after="120"/>
        <w:jc w:val="both"/>
        <w:rPr>
          <w:lang w:val="en-GB"/>
        </w:rPr>
      </w:pPr>
      <w:r>
        <w:rPr>
          <w:lang w:val="en-GB"/>
        </w:rPr>
      </w:r>
    </w:p>
    <w:p>
      <w:pPr>
        <w:pStyle w:val="Normal"/>
        <w:spacing w:lineRule="atLeast" w:line="100"/>
        <w:jc w:val="both"/>
        <w:rPr>
          <w:sz w:val="24"/>
          <w:lang w:val="en-GB"/>
        </w:rPr>
      </w:pPr>
      <w:r>
        <w:rPr>
          <w:sz w:val="24"/>
          <w:lang w:val="en-GB"/>
        </w:rPr>
      </w:r>
    </w:p>
    <w:p>
      <w:pPr>
        <w:pStyle w:val="Normal"/>
        <w:spacing w:lineRule="atLeast" w:line="100"/>
        <w:jc w:val="both"/>
        <w:rPr>
          <w:sz w:val="24"/>
          <w:lang w:val="en-GB"/>
        </w:rPr>
      </w:pPr>
      <w:r>
        <w:rPr>
          <w:sz w:val="24"/>
          <w:lang w:val="en-GB"/>
        </w:rPr>
        <w:t>As mentioned above, the only new aspect of these quantities are new wild card combinations in SF7. Very similar quantities, namely</w:t>
      </w:r>
    </w:p>
    <w:p>
      <w:pPr>
        <w:pStyle w:val="Normal"/>
        <w:spacing w:lineRule="atLeast" w:line="100"/>
        <w:jc w:val="both"/>
        <w:rPr>
          <w:sz w:val="24"/>
          <w:lang w:val="en-GB"/>
        </w:rPr>
      </w:pPr>
      <w:r>
        <w:rPr>
          <w:sz w:val="24"/>
          <w:lang w:val="en-GB"/>
        </w:rPr>
      </w:r>
    </w:p>
    <w:p>
      <w:pPr>
        <w:pStyle w:val="Normal"/>
        <w:tabs>
          <w:tab w:val="clear" w:pos="720"/>
          <w:tab w:val="left" w:pos="993" w:leader="none"/>
        </w:tabs>
        <w:snapToGrid w:val="false"/>
        <w:spacing w:lineRule="atLeast" w:line="100"/>
        <w:jc w:val="both"/>
        <w:rPr>
          <w:sz w:val="24"/>
          <w:szCs w:val="24"/>
          <w:lang w:val="en-GB"/>
        </w:rPr>
      </w:pPr>
      <w:r>
        <w:rPr>
          <w:rFonts w:eastAsia="Courier New" w:cs="Courier New" w:ascii="Courier New" w:hAnsi="Courier New"/>
          <w:color w:val="000000"/>
          <w:sz w:val="24"/>
          <w:szCs w:val="24"/>
          <w:lang w:val="en-GB"/>
        </w:rPr>
        <w:t>,DA/DA,*+*/*</w:t>
      </w:r>
    </w:p>
    <w:p>
      <w:pPr>
        <w:pStyle w:val="Normal"/>
        <w:tabs>
          <w:tab w:val="clear" w:pos="720"/>
          <w:tab w:val="left" w:pos="993" w:leader="none"/>
        </w:tabs>
        <w:snapToGrid w:val="false"/>
        <w:spacing w:lineRule="atLeast" w:line="100"/>
        <w:jc w:val="both"/>
        <w:rPr>
          <w:sz w:val="24"/>
          <w:szCs w:val="24"/>
          <w:lang w:val="en-GB"/>
        </w:rPr>
      </w:pPr>
      <w:r>
        <w:rPr>
          <w:rFonts w:eastAsia="Courier New" w:cs="Courier New"/>
          <w:color w:val="000000"/>
          <w:sz w:val="24"/>
          <w:szCs w:val="24"/>
          <w:lang w:val="en-GB"/>
        </w:rPr>
        <w:t>and</w:t>
      </w:r>
    </w:p>
    <w:p>
      <w:pPr>
        <w:pStyle w:val="Normal"/>
        <w:tabs>
          <w:tab w:val="clear" w:pos="720"/>
          <w:tab w:val="left" w:pos="993" w:leader="none"/>
        </w:tabs>
        <w:snapToGrid w:val="false"/>
        <w:spacing w:lineRule="atLeast" w:line="100"/>
        <w:jc w:val="both"/>
        <w:rPr>
          <w:rFonts w:ascii="Courier New" w:hAnsi="Courier New"/>
          <w:sz w:val="24"/>
          <w:szCs w:val="24"/>
          <w:lang w:val="en-GB"/>
        </w:rPr>
      </w:pPr>
      <w:r>
        <w:rPr>
          <w:rFonts w:eastAsia="Courier New" w:cs="Courier New" w:ascii="Courier New" w:hAnsi="Courier New"/>
          <w:color w:val="000000"/>
          <w:sz w:val="24"/>
          <w:szCs w:val="24"/>
          <w:lang w:val="en-GB"/>
        </w:rPr>
        <w:t>,DA/DA/DE,*/*/*+*</w:t>
      </w:r>
    </w:p>
    <w:p>
      <w:pPr>
        <w:pStyle w:val="Normal"/>
        <w:spacing w:lineRule="atLeast" w:line="100"/>
        <w:jc w:val="both"/>
        <w:rPr>
          <w:sz w:val="24"/>
          <w:lang w:val="en-GB"/>
        </w:rPr>
      </w:pPr>
      <w:r>
        <w:rPr>
          <w:sz w:val="24"/>
          <w:lang w:val="en-GB"/>
        </w:rPr>
      </w:r>
    </w:p>
    <w:p>
      <w:pPr>
        <w:pStyle w:val="Normal"/>
        <w:spacing w:lineRule="atLeast" w:line="100"/>
        <w:rPr>
          <w:sz w:val="24"/>
          <w:lang w:val="en-GB"/>
        </w:rPr>
      </w:pPr>
      <w:r>
        <w:rPr>
          <w:sz w:val="24"/>
          <w:lang w:val="en-GB"/>
        </w:rPr>
        <w:t>exist in dictionary 236. The new ones proposed now cause error messages in the check programs and therefore a dictionary update is needed.</w:t>
      </w:r>
    </w:p>
    <w:p>
      <w:pPr>
        <w:pStyle w:val="Normal"/>
        <w:spacing w:lineRule="atLeast" w:line="100"/>
        <w:rPr>
          <w:sz w:val="24"/>
          <w:lang w:val="en-GB"/>
        </w:rPr>
      </w:pPr>
      <w:r>
        <w:rPr>
          <w:sz w:val="24"/>
          <w:lang w:val="en-GB"/>
        </w:rPr>
      </w:r>
    </w:p>
    <w:p>
      <w:pPr>
        <w:pStyle w:val="Normal"/>
        <w:spacing w:lineRule="atLeast" w:line="100"/>
        <w:jc w:val="both"/>
        <w:rPr>
          <w:sz w:val="24"/>
          <w:lang w:val="en-GB"/>
        </w:rPr>
      </w:pPr>
      <w:r>
        <w:rPr>
          <w:sz w:val="24"/>
          <w:lang w:val="en-GB"/>
        </w:rPr>
        <w:t xml:space="preserve">On this occasion we want to raise the question whether we should continue to add such quantities to the dictionary which are new only with respect to the position of the + sign in wild card combinations in SF7. </w:t>
      </w:r>
    </w:p>
    <w:p>
      <w:pPr>
        <w:pStyle w:val="Normal"/>
        <w:spacing w:lineRule="atLeast" w:line="100"/>
        <w:jc w:val="both"/>
        <w:rPr>
          <w:sz w:val="24"/>
          <w:lang w:val="en-GB"/>
        </w:rPr>
      </w:pPr>
      <w:r>
        <w:rPr>
          <w:sz w:val="24"/>
          <w:lang w:val="en-GB"/>
        </w:rPr>
        <w:t>This concerns both the needs of users and compilers and has also consequences for the check programs. One important aspect is that we want to keep dictionary 236 as compact as possible, i.e. avoiding the addition of quantity codes which are not needed for checking purposes, nor for users and compilers to properly compile and understand the measured quantity.</w:t>
      </w:r>
    </w:p>
    <w:p>
      <w:pPr>
        <w:pStyle w:val="Normal"/>
        <w:spacing w:lineRule="atLeast" w:line="100"/>
        <w:jc w:val="both"/>
        <w:rPr>
          <w:sz w:val="24"/>
          <w:lang w:val="en-GB"/>
        </w:rPr>
      </w:pPr>
      <w:r>
        <w:rPr>
          <w:sz w:val="24"/>
          <w:lang w:val="en-GB"/>
        </w:rPr>
      </w:r>
    </w:p>
    <w:p>
      <w:pPr>
        <w:pStyle w:val="Normal"/>
        <w:spacing w:lineRule="atLeast" w:line="100"/>
        <w:jc w:val="both"/>
        <w:rPr>
          <w:sz w:val="24"/>
          <w:lang w:val="en-GB"/>
        </w:rPr>
      </w:pPr>
      <w:r>
        <w:rPr>
          <w:sz w:val="24"/>
          <w:lang w:val="en-GB"/>
        </w:rPr>
        <w:t>Note also that in the above proposal, the expansion for one of the new quantities is - also because of the limited space in the dictionary for the “short expansion” -  the same as for the corresponding existing quantity given above. From this point of view, such new dictionary entries may not be very helpful for users, or might even cause confusion.</w:t>
      </w:r>
    </w:p>
    <w:p>
      <w:pPr>
        <w:pStyle w:val="Normal"/>
        <w:spacing w:lineRule="atLeast" w:line="100"/>
        <w:jc w:val="both"/>
        <w:rPr>
          <w:sz w:val="24"/>
          <w:lang w:val="en-GB"/>
        </w:rPr>
      </w:pPr>
      <w:r>
        <w:rPr>
          <w:sz w:val="24"/>
          <w:lang w:val="en-GB"/>
        </w:rPr>
      </w:r>
    </w:p>
    <w:p>
      <w:pPr>
        <w:pStyle w:val="Normal"/>
        <w:spacing w:lineRule="atLeast" w:line="100"/>
        <w:jc w:val="both"/>
        <w:rPr>
          <w:sz w:val="24"/>
          <w:lang w:val="en-GB"/>
        </w:rPr>
      </w:pPr>
      <w:r>
        <w:rPr>
          <w:sz w:val="24"/>
          <w:lang w:val="en-GB"/>
        </w:rPr>
        <w:t>The alternative would be to allow the wild card  ‘*’ to stand not only for a single particle but also for a particle pair, which is currently written as ‘*+*’ (usually referred to as “particle pair specified” in the dictionary expansions).</w:t>
      </w:r>
    </w:p>
    <w:p>
      <w:pPr>
        <w:pStyle w:val="Normal"/>
        <w:spacing w:lineRule="atLeast" w:line="100"/>
        <w:jc w:val="both"/>
        <w:rPr>
          <w:sz w:val="24"/>
          <w:lang w:val="en-GB"/>
        </w:rPr>
      </w:pPr>
      <w:r>
        <w:rPr>
          <w:sz w:val="24"/>
          <w:lang w:val="en-GB"/>
        </w:rPr>
      </w:r>
    </w:p>
    <w:p>
      <w:pPr>
        <w:pStyle w:val="Normal"/>
        <w:spacing w:lineRule="atLeast" w:line="100"/>
        <w:jc w:val="both"/>
        <w:rPr>
          <w:color w:val="000000"/>
        </w:rPr>
      </w:pPr>
      <w:r>
        <w:rPr>
          <w:color w:val="000000"/>
          <w:sz w:val="24"/>
          <w:lang w:val="en-GB"/>
        </w:rPr>
        <w:t xml:space="preserve">A shortcoming of this option would be to have less consistency in the particle order in SF7. For example, LEXFOR asks to put the particle combination </w:t>
      </w:r>
      <w:r>
        <w:rPr>
          <w:i/>
          <w:iCs/>
          <w:color w:val="000000"/>
          <w:sz w:val="24"/>
          <w:lang w:val="en-GB"/>
        </w:rPr>
        <w:t>a</w:t>
      </w:r>
      <w:r>
        <w:rPr>
          <w:color w:val="000000"/>
          <w:sz w:val="24"/>
          <w:lang w:val="en-GB"/>
        </w:rPr>
        <w:t>+</w:t>
      </w:r>
      <w:r>
        <w:rPr>
          <w:i/>
          <w:iCs/>
          <w:color w:val="000000"/>
          <w:sz w:val="24"/>
          <w:lang w:val="en-GB"/>
        </w:rPr>
        <w:t>b</w:t>
      </w:r>
      <w:r>
        <w:rPr>
          <w:color w:val="000000"/>
          <w:sz w:val="24"/>
          <w:lang w:val="en-GB"/>
        </w:rPr>
        <w:t xml:space="preserve"> after the particle </w:t>
      </w:r>
      <w:r>
        <w:rPr>
          <w:i/>
          <w:iCs/>
          <w:color w:val="000000"/>
          <w:sz w:val="24"/>
          <w:lang w:val="en-GB"/>
        </w:rPr>
        <w:t>a</w:t>
      </w:r>
      <w:r>
        <w:rPr>
          <w:color w:val="000000"/>
          <w:sz w:val="24"/>
          <w:lang w:val="en-GB"/>
        </w:rPr>
        <w:t xml:space="preserve"> in SF7 when the cross section is differential for the angle of the particle </w:t>
      </w:r>
      <w:r>
        <w:rPr>
          <w:i/>
          <w:iCs/>
          <w:color w:val="000000"/>
          <w:sz w:val="24"/>
          <w:lang w:val="en-GB"/>
        </w:rPr>
        <w:t>a</w:t>
      </w:r>
      <w:r>
        <w:rPr>
          <w:color w:val="000000"/>
          <w:sz w:val="24"/>
          <w:lang w:val="en-GB"/>
        </w:rPr>
        <w:t xml:space="preserve">, and angle of </w:t>
      </w:r>
      <w:r>
        <w:rPr>
          <w:i/>
          <w:iCs/>
          <w:color w:val="000000"/>
          <w:sz w:val="24"/>
          <w:lang w:val="en-GB"/>
        </w:rPr>
        <w:t>a</w:t>
      </w:r>
      <w:r>
        <w:rPr>
          <w:color w:val="000000"/>
          <w:sz w:val="24"/>
          <w:lang w:val="en-GB"/>
        </w:rPr>
        <w:t>+</w:t>
      </w:r>
      <w:r>
        <w:rPr>
          <w:i/>
          <w:iCs/>
          <w:color w:val="000000"/>
          <w:sz w:val="24"/>
          <w:lang w:val="en-GB"/>
        </w:rPr>
        <w:t>b</w:t>
      </w:r>
      <w:r>
        <w:rPr>
          <w:color w:val="000000"/>
          <w:sz w:val="24"/>
          <w:lang w:val="en-GB"/>
        </w:rPr>
        <w:t xml:space="preserve"> (“</w:t>
      </w:r>
      <w:r>
        <w:rPr>
          <w:i/>
          <w:iCs/>
          <w:color w:val="000000"/>
          <w:sz w:val="24"/>
          <w:lang w:val="en-GB"/>
        </w:rPr>
        <w:t>a</w:t>
      </w:r>
      <w:r>
        <w:rPr>
          <w:color w:val="000000"/>
          <w:sz w:val="24"/>
          <w:lang w:val="en-GB"/>
        </w:rPr>
        <w:t>/</w:t>
      </w:r>
      <w:r>
        <w:rPr>
          <w:i/>
          <w:iCs/>
          <w:color w:val="000000"/>
          <w:sz w:val="24"/>
          <w:lang w:val="en-GB"/>
        </w:rPr>
        <w:t>b</w:t>
      </w:r>
      <w:r>
        <w:rPr>
          <w:color w:val="000000"/>
          <w:sz w:val="24"/>
          <w:lang w:val="en-GB"/>
        </w:rPr>
        <w:t>/</w:t>
      </w:r>
      <w:r>
        <w:rPr>
          <w:i/>
          <w:iCs/>
          <w:color w:val="000000"/>
          <w:sz w:val="24"/>
          <w:lang w:val="en-GB"/>
        </w:rPr>
        <w:t>a</w:t>
      </w:r>
      <w:r>
        <w:rPr>
          <w:color w:val="000000"/>
          <w:sz w:val="24"/>
          <w:lang w:val="en-GB"/>
        </w:rPr>
        <w:t>+</w:t>
      </w:r>
      <w:r>
        <w:rPr>
          <w:i/>
          <w:iCs/>
          <w:color w:val="000000"/>
          <w:sz w:val="24"/>
          <w:lang w:val="en-GB"/>
        </w:rPr>
        <w:t>b</w:t>
      </w:r>
      <w:r>
        <w:rPr>
          <w:color w:val="000000"/>
          <w:sz w:val="24"/>
          <w:lang w:val="en-GB"/>
        </w:rPr>
        <w:t>” in LEXFOR should read “</w:t>
      </w:r>
      <w:r>
        <w:rPr>
          <w:i/>
          <w:iCs/>
          <w:color w:val="000000"/>
          <w:sz w:val="24"/>
          <w:lang w:val="en-GB"/>
        </w:rPr>
        <w:t>a</w:t>
      </w:r>
      <w:r>
        <w:rPr>
          <w:color w:val="000000"/>
          <w:sz w:val="24"/>
          <w:lang w:val="en-GB"/>
        </w:rPr>
        <w:t>/</w:t>
      </w:r>
      <w:r>
        <w:rPr>
          <w:i/>
          <w:iCs/>
          <w:color w:val="000000"/>
          <w:sz w:val="24"/>
          <w:lang w:val="en-GB"/>
        </w:rPr>
        <w:t>a</w:t>
      </w:r>
      <w:r>
        <w:rPr>
          <w:color w:val="000000"/>
          <w:sz w:val="24"/>
          <w:lang w:val="en-GB"/>
        </w:rPr>
        <w:t>+</w:t>
      </w:r>
      <w:r>
        <w:rPr>
          <w:i/>
          <w:iCs/>
          <w:color w:val="000000"/>
          <w:sz w:val="24"/>
          <w:lang w:val="en-GB"/>
        </w:rPr>
        <w:t>b</w:t>
      </w:r>
      <w:r>
        <w:rPr>
          <w:color w:val="000000"/>
          <w:sz w:val="24"/>
          <w:lang w:val="en-GB"/>
        </w:rPr>
        <w:t xml:space="preserve">”). But a checking program may accept both </w:t>
      </w:r>
      <w:r>
        <w:rPr>
          <w:color w:val="000000"/>
          <w:lang w:val="en-GB"/>
        </w:rPr>
        <w:t>DA/DA,</w:t>
      </w:r>
      <w:r>
        <w:rPr>
          <w:i/>
          <w:iCs/>
          <w:color w:val="000000"/>
          <w:sz w:val="24"/>
          <w:lang w:val="en-GB"/>
        </w:rPr>
        <w:t>a</w:t>
      </w:r>
      <w:r>
        <w:rPr>
          <w:color w:val="000000"/>
          <w:sz w:val="24"/>
          <w:lang w:val="en-GB"/>
        </w:rPr>
        <w:t>/</w:t>
      </w:r>
      <w:r>
        <w:rPr>
          <w:i/>
          <w:iCs/>
          <w:color w:val="000000"/>
          <w:sz w:val="24"/>
          <w:lang w:val="en-GB"/>
        </w:rPr>
        <w:t>a</w:t>
      </w:r>
      <w:r>
        <w:rPr>
          <w:color w:val="000000"/>
          <w:sz w:val="24"/>
          <w:lang w:val="en-GB"/>
        </w:rPr>
        <w:t>+</w:t>
      </w:r>
      <w:r>
        <w:rPr>
          <w:i/>
          <w:iCs/>
          <w:color w:val="000000"/>
          <w:sz w:val="24"/>
          <w:lang w:val="en-GB"/>
        </w:rPr>
        <w:t>b</w:t>
      </w:r>
      <w:r>
        <w:rPr>
          <w:color w:val="000000"/>
          <w:sz w:val="24"/>
          <w:lang w:val="en-GB"/>
        </w:rPr>
        <w:t xml:space="preserve"> and </w:t>
      </w:r>
      <w:r>
        <w:rPr>
          <w:color w:val="000000"/>
          <w:lang w:val="en-GB"/>
        </w:rPr>
        <w:t>DA/DA</w:t>
      </w:r>
      <w:r>
        <w:rPr>
          <w:color w:val="000000"/>
          <w:sz w:val="24"/>
          <w:lang w:val="en-GB"/>
        </w:rPr>
        <w:t>,</w:t>
      </w:r>
      <w:r>
        <w:rPr>
          <w:i/>
          <w:iCs/>
          <w:color w:val="000000"/>
          <w:sz w:val="24"/>
          <w:lang w:val="en-GB"/>
        </w:rPr>
        <w:t>a</w:t>
      </w:r>
      <w:r>
        <w:rPr>
          <w:color w:val="000000"/>
          <w:sz w:val="24"/>
          <w:lang w:val="en-GB"/>
        </w:rPr>
        <w:t>+</w:t>
      </w:r>
      <w:r>
        <w:rPr>
          <w:i/>
          <w:iCs/>
          <w:color w:val="000000"/>
          <w:sz w:val="24"/>
          <w:lang w:val="en-GB"/>
        </w:rPr>
        <w:t>b</w:t>
      </w:r>
      <w:r>
        <w:rPr>
          <w:color w:val="000000"/>
          <w:sz w:val="24"/>
          <w:lang w:val="en-GB"/>
        </w:rPr>
        <w:t>/</w:t>
      </w:r>
      <w:r>
        <w:rPr>
          <w:i/>
          <w:iCs/>
          <w:color w:val="000000"/>
          <w:sz w:val="24"/>
          <w:lang w:val="en-GB"/>
        </w:rPr>
        <w:t>a</w:t>
      </w:r>
      <w:r>
        <w:rPr>
          <w:color w:val="000000"/>
          <w:sz w:val="24"/>
          <w:lang w:val="en-GB"/>
        </w:rPr>
        <w:t xml:space="preserve"> if * includes *+* in dictionary 236. Note that </w:t>
      </w:r>
      <w:r>
        <w:rPr>
          <w:color w:val="000000"/>
          <w:lang w:val="en-GB"/>
        </w:rPr>
        <w:t>DA/DA,*+*/*</w:t>
      </w:r>
      <w:r>
        <w:rPr>
          <w:color w:val="000000"/>
          <w:sz w:val="24"/>
          <w:lang w:val="en-GB"/>
        </w:rPr>
        <w:t xml:space="preserve"> has</w:t>
      </w:r>
      <w:bookmarkStart w:id="0" w:name="_GoBack"/>
      <w:bookmarkEnd w:id="0"/>
      <w:r>
        <w:rPr>
          <w:color w:val="000000"/>
          <w:sz w:val="24"/>
          <w:lang w:val="en-GB"/>
        </w:rPr>
        <w:t xml:space="preserve"> been defined in dictionary 236, and used in two entries E1711 and E1748 where the particle combination is not </w:t>
      </w:r>
      <w:r>
        <w:rPr>
          <w:i/>
          <w:iCs/>
          <w:color w:val="000000"/>
          <w:sz w:val="24"/>
          <w:lang w:val="en-GB"/>
        </w:rPr>
        <w:t>a</w:t>
      </w:r>
      <w:r>
        <w:rPr>
          <w:color w:val="000000"/>
          <w:sz w:val="24"/>
          <w:lang w:val="en-GB"/>
        </w:rPr>
        <w:t>+</w:t>
      </w:r>
      <w:r>
        <w:rPr>
          <w:i/>
          <w:iCs/>
          <w:color w:val="000000"/>
          <w:sz w:val="24"/>
          <w:lang w:val="en-GB"/>
        </w:rPr>
        <w:t>b</w:t>
      </w:r>
      <w:r>
        <w:rPr>
          <w:color w:val="000000"/>
          <w:sz w:val="24"/>
          <w:lang w:val="en-GB"/>
        </w:rPr>
        <w:t>/</w:t>
      </w:r>
      <w:r>
        <w:rPr>
          <w:i/>
          <w:iCs/>
          <w:color w:val="000000"/>
          <w:sz w:val="24"/>
          <w:lang w:val="en-GB"/>
        </w:rPr>
        <w:t>c</w:t>
      </w:r>
      <w:r>
        <w:rPr>
          <w:color w:val="000000"/>
          <w:sz w:val="24"/>
          <w:lang w:val="en-GB"/>
        </w:rPr>
        <w:t xml:space="preserve"> rather than </w:t>
      </w:r>
      <w:r>
        <w:rPr>
          <w:i/>
          <w:iCs/>
          <w:color w:val="000000"/>
          <w:sz w:val="24"/>
          <w:lang w:val="en-GB"/>
        </w:rPr>
        <w:t>a</w:t>
      </w:r>
      <w:r>
        <w:rPr>
          <w:color w:val="000000"/>
          <w:sz w:val="24"/>
          <w:lang w:val="en-GB"/>
        </w:rPr>
        <w:t>+</w:t>
      </w:r>
      <w:r>
        <w:rPr>
          <w:i/>
          <w:iCs/>
          <w:color w:val="000000"/>
          <w:sz w:val="24"/>
          <w:lang w:val="en-GB"/>
        </w:rPr>
        <w:t>b</w:t>
      </w:r>
      <w:r>
        <w:rPr>
          <w:color w:val="000000"/>
          <w:sz w:val="24"/>
          <w:lang w:val="en-GB"/>
        </w:rPr>
        <w:t>/</w:t>
      </w:r>
      <w:r>
        <w:rPr>
          <w:i/>
          <w:iCs/>
          <w:color w:val="000000"/>
          <w:sz w:val="24"/>
          <w:lang w:val="en-GB"/>
        </w:rPr>
        <w:t>a</w:t>
      </w:r>
      <w:r>
        <w:rPr>
          <w:color w:val="000000"/>
          <w:sz w:val="24"/>
          <w:lang w:val="en-GB"/>
        </w:rPr>
        <w:t>.</w:t>
      </w:r>
    </w:p>
    <w:p>
      <w:pPr>
        <w:pStyle w:val="Normal"/>
        <w:spacing w:lineRule="atLeast" w:line="100"/>
        <w:jc w:val="both"/>
        <w:rPr>
          <w:sz w:val="24"/>
          <w:lang w:val="en-GB"/>
        </w:rPr>
      </w:pPr>
      <w:r>
        <w:rPr>
          <w:sz w:val="24"/>
          <w:lang w:val="en-GB"/>
        </w:rPr>
      </w:r>
    </w:p>
    <w:p>
      <w:pPr>
        <w:pStyle w:val="Normal"/>
        <w:spacing w:lineRule="atLeast" w:line="100"/>
        <w:jc w:val="both"/>
        <w:rPr>
          <w:sz w:val="24"/>
          <w:lang w:val="en-GB"/>
        </w:rPr>
      </w:pPr>
      <w:r>
        <w:rPr>
          <w:sz w:val="24"/>
          <w:lang w:val="en-GB"/>
        </w:rPr>
        <w:t>We would like to have this question discussed by compilers and programmers. The needs of users, compilers and programmers should be taken into account.</w:t>
      </w:r>
    </w:p>
    <w:p>
      <w:pPr>
        <w:pStyle w:val="Normal"/>
        <w:spacing w:lineRule="atLeast" w:line="100"/>
        <w:jc w:val="both"/>
        <w:rPr>
          <w:sz w:val="24"/>
          <w:lang w:val="en-GB"/>
        </w:rPr>
      </w:pPr>
      <w:r>
        <w:rPr>
          <w:sz w:val="24"/>
          <w:lang w:val="en-GB"/>
        </w:rPr>
      </w:r>
    </w:p>
    <w:p>
      <w:pPr>
        <w:pStyle w:val="Normal"/>
        <w:spacing w:lineRule="atLeast" w:line="100"/>
        <w:jc w:val="both"/>
        <w:rPr>
          <w:sz w:val="24"/>
          <w:lang w:val="en-GB"/>
        </w:rPr>
      </w:pPr>
      <w:r>
        <w:rPr>
          <w:sz w:val="24"/>
          <w:lang w:val="en-GB"/>
        </w:rPr>
      </w:r>
    </w:p>
    <w:p>
      <w:pPr>
        <w:pStyle w:val="Normal"/>
        <w:jc w:val="both"/>
        <w:rPr>
          <w:sz w:val="24"/>
          <w:lang w:val="en-GB"/>
        </w:rPr>
      </w:pPr>
      <w:r>
        <w:rPr>
          <w:sz w:val="24"/>
          <w:lang w:val="en-GB"/>
        </w:rPr>
      </w:r>
    </w:p>
    <w:p>
      <w:pPr>
        <w:pStyle w:val="Normal"/>
        <w:jc w:val="both"/>
        <w:rPr>
          <w:b/>
          <w:b/>
          <w:sz w:val="24"/>
          <w:lang w:val="en-GB"/>
        </w:rPr>
      </w:pPr>
      <w:r>
        <w:rPr>
          <w:b/>
          <w:sz w:val="24"/>
          <w:lang w:val="en-GB"/>
        </w:rPr>
        <w:t>Distribution:</w:t>
      </w:r>
    </w:p>
    <w:p>
      <w:pPr>
        <w:sectPr>
          <w:footerReference w:type="default" r:id="rId2"/>
          <w:type w:val="nextPage"/>
          <w:pgSz w:w="11906" w:h="16838"/>
          <w:pgMar w:left="1174" w:right="1174" w:header="0" w:top="1440" w:footer="1440" w:bottom="1954" w:gutter="0"/>
          <w:pgNumType w:fmt="decimal"/>
          <w:formProt w:val="false"/>
          <w:textDirection w:val="lrTb"/>
          <w:docGrid w:type="default" w:linePitch="360" w:charSpace="0"/>
        </w:sectPr>
      </w:pPr>
    </w:p>
    <w:p>
      <w:pPr>
        <w:pStyle w:val="Normal"/>
        <w:jc w:val="both"/>
        <w:rPr/>
      </w:pPr>
      <w:hyperlink r:id="rId3">
        <w:r>
          <w:rPr>
            <w:rStyle w:val="Internetverknpfung"/>
            <w:sz w:val="24"/>
            <w:lang w:val="en-GB" w:eastAsia="ja-JP"/>
          </w:rPr>
          <w:t>a.koning@iaea.org</w:t>
        </w:r>
      </w:hyperlink>
    </w:p>
    <w:p>
      <w:pPr>
        <w:pStyle w:val="Normal"/>
        <w:rPr/>
      </w:pPr>
      <w:hyperlink r:id="rId4">
        <w:r>
          <w:rPr>
            <w:rStyle w:val="Internetverknpfung"/>
            <w:sz w:val="24"/>
            <w:lang w:val="en-GB" w:eastAsia="ja-JP"/>
          </w:rPr>
          <w:t>abhihere@gmail.com</w:t>
        </w:r>
      </w:hyperlink>
    </w:p>
    <w:p>
      <w:pPr>
        <w:pStyle w:val="Normal"/>
        <w:rPr/>
      </w:pPr>
      <w:hyperlink r:id="rId5">
        <w:r>
          <w:rPr>
            <w:rStyle w:val="Internetverknpfung"/>
            <w:sz w:val="24"/>
            <w:lang w:val="en-GB" w:eastAsia="ja-JP"/>
          </w:rPr>
          <w:t>aloks279@gmail.com</w:t>
        </w:r>
      </w:hyperlink>
    </w:p>
    <w:p>
      <w:pPr>
        <w:pStyle w:val="Normal"/>
        <w:rPr/>
      </w:pPr>
      <w:hyperlink r:id="rId6">
        <w:r>
          <w:rPr>
            <w:rStyle w:val="Internetverknpfung"/>
            <w:sz w:val="24"/>
            <w:lang w:val="en-GB" w:eastAsia="ja-JP"/>
          </w:rPr>
          <w:t>dbrown@bnl.gov</w:t>
        </w:r>
      </w:hyperlink>
    </w:p>
    <w:p>
      <w:pPr>
        <w:pStyle w:val="Normal"/>
        <w:rPr/>
      </w:pPr>
      <w:hyperlink r:id="rId7">
        <w:r>
          <w:rPr>
            <w:rStyle w:val="Internetverknpfung"/>
            <w:sz w:val="24"/>
            <w:lang w:val="en-GB" w:eastAsia="ja-JP"/>
          </w:rPr>
          <w:t>draj@barc.gov.in</w:t>
        </w:r>
      </w:hyperlink>
    </w:p>
    <w:p>
      <w:pPr>
        <w:pStyle w:val="Normal"/>
        <w:rPr/>
      </w:pPr>
      <w:hyperlink r:id="rId8">
        <w:r>
          <w:rPr>
            <w:rStyle w:val="Internetverknpfung"/>
            <w:sz w:val="24"/>
            <w:lang w:val="en-GB" w:eastAsia="ja-JP"/>
          </w:rPr>
          <w:t>fukahori.tokio@jaea.go.jp</w:t>
        </w:r>
      </w:hyperlink>
    </w:p>
    <w:p>
      <w:pPr>
        <w:pStyle w:val="Normal"/>
        <w:rPr/>
      </w:pPr>
      <w:hyperlink r:id="rId9">
        <w:r>
          <w:rPr>
            <w:rStyle w:val="Internetverknpfung"/>
            <w:sz w:val="24"/>
            <w:lang w:val="en-GB" w:eastAsia="ja-JP"/>
          </w:rPr>
          <w:t>ganesan555@gmail.com</w:t>
        </w:r>
      </w:hyperlink>
    </w:p>
    <w:p>
      <w:pPr>
        <w:pStyle w:val="Normal"/>
        <w:rPr/>
      </w:pPr>
      <w:hyperlink r:id="rId10">
        <w:r>
          <w:rPr>
            <w:rStyle w:val="Internetverknpfung"/>
            <w:sz w:val="24"/>
            <w:lang w:val="en-GB" w:eastAsia="ja-JP"/>
          </w:rPr>
          <w:t>gezg@ciae.ac.cn</w:t>
        </w:r>
      </w:hyperlink>
    </w:p>
    <w:p>
      <w:pPr>
        <w:pStyle w:val="Normal"/>
        <w:rPr/>
      </w:pPr>
      <w:hyperlink r:id="rId11">
        <w:r>
          <w:rPr>
            <w:rStyle w:val="Internetverknpfung"/>
            <w:sz w:val="24"/>
            <w:lang w:val="en-GB" w:eastAsia="ja-JP"/>
          </w:rPr>
          <w:t>iwamoto.osamu@jaea.go.jp</w:t>
        </w:r>
      </w:hyperlink>
    </w:p>
    <w:p>
      <w:pPr>
        <w:pStyle w:val="Normal"/>
        <w:rPr/>
      </w:pPr>
      <w:hyperlink r:id="rId12">
        <w:r>
          <w:rPr>
            <w:rStyle w:val="Internetverknpfung"/>
            <w:sz w:val="24"/>
            <w:lang w:val="en-GB" w:eastAsia="ja-JP"/>
          </w:rPr>
          <w:t>j.c.sublet@iaea.org</w:t>
        </w:r>
      </w:hyperlink>
    </w:p>
    <w:p>
      <w:pPr>
        <w:pStyle w:val="Normal"/>
        <w:rPr/>
      </w:pPr>
      <w:hyperlink r:id="rId13">
        <w:r>
          <w:rPr>
            <w:rStyle w:val="Internetverknpfung"/>
            <w:sz w:val="24"/>
            <w:lang w:val="en-GB" w:eastAsia="ja-JP"/>
          </w:rPr>
          <w:t>jmwang@ciae.ac.cn</w:t>
        </w:r>
      </w:hyperlink>
    </w:p>
    <w:p>
      <w:pPr>
        <w:pStyle w:val="Normal"/>
        <w:rPr/>
      </w:pPr>
      <w:hyperlink r:id="rId14">
        <w:r>
          <w:rPr>
            <w:rStyle w:val="Internetverknpfung"/>
            <w:sz w:val="24"/>
            <w:lang w:val="en-GB" w:eastAsia="ja-JP"/>
          </w:rPr>
          <w:t>kaltchenko@kinr.kiev.ua</w:t>
        </w:r>
      </w:hyperlink>
    </w:p>
    <w:p>
      <w:pPr>
        <w:pStyle w:val="Normal"/>
        <w:rPr/>
      </w:pPr>
      <w:hyperlink r:id="rId15">
        <w:r>
          <w:rPr>
            <w:rStyle w:val="Internetverknpfung"/>
            <w:sz w:val="24"/>
            <w:lang w:val="en-GB" w:eastAsia="ja-JP"/>
          </w:rPr>
          <w:t>kenya.suyama@oecd-nea.org</w:t>
        </w:r>
      </w:hyperlink>
    </w:p>
    <w:p>
      <w:pPr>
        <w:pStyle w:val="Normal"/>
        <w:rPr/>
      </w:pPr>
      <w:hyperlink r:id="rId16">
        <w:r>
          <w:rPr>
            <w:rStyle w:val="Internetverknpfung"/>
            <w:sz w:val="24"/>
            <w:lang w:val="en-GB" w:eastAsia="ja-JP"/>
          </w:rPr>
          <w:t>kimura.atsushi04@jaea.go.jp</w:t>
        </w:r>
      </w:hyperlink>
    </w:p>
    <w:p>
      <w:pPr>
        <w:pStyle w:val="Normal"/>
        <w:rPr/>
      </w:pPr>
      <w:hyperlink r:id="rId17">
        <w:r>
          <w:rPr>
            <w:rStyle w:val="Internetverknpfung"/>
            <w:sz w:val="24"/>
            <w:lang w:val="en-GB" w:eastAsia="ja-JP"/>
          </w:rPr>
          <w:t>l.vrapcenjak@iaea.org</w:t>
        </w:r>
      </w:hyperlink>
    </w:p>
    <w:p>
      <w:pPr>
        <w:pStyle w:val="Normal"/>
        <w:rPr/>
      </w:pPr>
      <w:hyperlink r:id="rId18">
        <w:r>
          <w:rPr>
            <w:rStyle w:val="Internetverknpfung"/>
            <w:sz w:val="24"/>
            <w:lang w:val="en-GB" w:eastAsia="ja-JP"/>
          </w:rPr>
          <w:t>manuel.bossant@oecd-nea.org</w:t>
        </w:r>
      </w:hyperlink>
    </w:p>
    <w:p>
      <w:pPr>
        <w:pStyle w:val="Normal"/>
        <w:rPr/>
      </w:pPr>
      <w:hyperlink r:id="rId19">
        <w:r>
          <w:rPr>
            <w:rStyle w:val="Internetverknpfung"/>
            <w:sz w:val="24"/>
            <w:lang w:val="en-GB" w:eastAsia="ja-JP"/>
          </w:rPr>
          <w:t>masaaki@nucl.sci.hokudai.ac.jp</w:t>
        </w:r>
      </w:hyperlink>
    </w:p>
    <w:p>
      <w:pPr>
        <w:pStyle w:val="Normal"/>
        <w:rPr/>
      </w:pPr>
      <w:hyperlink r:id="rId20">
        <w:r>
          <w:rPr>
            <w:rStyle w:val="Internetverknpfung"/>
            <w:sz w:val="24"/>
            <w:lang w:val="en-GB" w:eastAsia="ja-JP"/>
          </w:rPr>
          <w:t>michael.fleming@oecd-nea.org</w:t>
        </w:r>
      </w:hyperlink>
    </w:p>
    <w:p>
      <w:pPr>
        <w:pStyle w:val="Normal"/>
        <w:rPr/>
      </w:pPr>
      <w:hyperlink r:id="rId21">
        <w:r>
          <w:rPr>
            <w:rStyle w:val="Internetverknpfung"/>
            <w:sz w:val="24"/>
            <w:lang w:val="en-GB" w:eastAsia="ja-JP"/>
          </w:rPr>
          <w:t>mmarina@ippe.ru</w:t>
        </w:r>
      </w:hyperlink>
    </w:p>
    <w:p>
      <w:pPr>
        <w:pStyle w:val="Normal"/>
        <w:rPr/>
      </w:pPr>
      <w:hyperlink r:id="rId22">
        <w:r>
          <w:rPr>
            <w:rStyle w:val="Internetverknpfung"/>
            <w:sz w:val="24"/>
            <w:lang w:val="en-GB" w:eastAsia="ja-JP"/>
          </w:rPr>
          <w:t>nicolas.soppera@oecd-nea.org</w:t>
        </w:r>
      </w:hyperlink>
    </w:p>
    <w:p>
      <w:pPr>
        <w:pStyle w:val="Normal"/>
        <w:rPr/>
      </w:pPr>
      <w:hyperlink r:id="rId23">
        <w:r>
          <w:rPr>
            <w:rStyle w:val="Internetverknpfung"/>
            <w:sz w:val="24"/>
            <w:lang w:val="en-GB" w:eastAsia="ja-JP"/>
          </w:rPr>
          <w:t>n.otsuka@iaea.org</w:t>
        </w:r>
      </w:hyperlink>
    </w:p>
    <w:p>
      <w:pPr>
        <w:pStyle w:val="Normal"/>
        <w:rPr/>
      </w:pPr>
      <w:hyperlink r:id="rId24">
        <w:r>
          <w:rPr>
            <w:rStyle w:val="Internetverknpfung"/>
            <w:sz w:val="24"/>
            <w:lang w:val="en-GB" w:eastAsia="ja-JP"/>
          </w:rPr>
          <w:t>nrdc@jcprg.org</w:t>
        </w:r>
      </w:hyperlink>
    </w:p>
    <w:p>
      <w:pPr>
        <w:pStyle w:val="Normal"/>
        <w:rPr/>
      </w:pPr>
      <w:hyperlink r:id="rId25">
        <w:r>
          <w:rPr>
            <w:rStyle w:val="Internetverknpfung"/>
            <w:sz w:val="24"/>
            <w:lang w:val="en-GB" w:eastAsia="ja-JP"/>
          </w:rPr>
          <w:t>odsurenn@gmail.com</w:t>
        </w:r>
      </w:hyperlink>
    </w:p>
    <w:p>
      <w:pPr>
        <w:pStyle w:val="Normal"/>
        <w:rPr/>
      </w:pPr>
      <w:hyperlink r:id="rId26">
        <w:r>
          <w:rPr>
            <w:rStyle w:val="Internetverknpfung"/>
            <w:sz w:val="24"/>
            <w:lang w:val="en-GB" w:eastAsia="ja-JP"/>
          </w:rPr>
          <w:t>ogritzay@kinr.kiev.ua</w:t>
        </w:r>
      </w:hyperlink>
    </w:p>
    <w:p>
      <w:pPr>
        <w:pStyle w:val="Normal"/>
        <w:rPr/>
      </w:pPr>
      <w:hyperlink r:id="rId27">
        <w:r>
          <w:rPr>
            <w:rStyle w:val="Internetverknpfung"/>
            <w:sz w:val="24"/>
            <w:lang w:val="en-GB" w:eastAsia="ja-JP"/>
          </w:rPr>
          <w:t>ogrudzevich@ippe.ru</w:t>
        </w:r>
      </w:hyperlink>
    </w:p>
    <w:p>
      <w:pPr>
        <w:pStyle w:val="Normal"/>
        <w:rPr/>
      </w:pPr>
      <w:hyperlink r:id="rId28">
        <w:r>
          <w:rPr>
            <w:rStyle w:val="Internetverknpfung"/>
            <w:sz w:val="24"/>
            <w:lang w:val="en-GB" w:eastAsia="ja-JP"/>
          </w:rPr>
          <w:t>otto.schwerer@aon.at</w:t>
        </w:r>
      </w:hyperlink>
    </w:p>
    <w:p>
      <w:pPr>
        <w:pStyle w:val="Normal"/>
        <w:rPr/>
      </w:pPr>
      <w:hyperlink r:id="rId29">
        <w:r>
          <w:rPr>
            <w:rStyle w:val="Internetverknpfung"/>
            <w:sz w:val="24"/>
            <w:lang w:val="en-GB" w:eastAsia="ja-JP"/>
          </w:rPr>
          <w:t>pikulina@expd.vniief.ru</w:t>
        </w:r>
      </w:hyperlink>
    </w:p>
    <w:p>
      <w:pPr>
        <w:pStyle w:val="Normal"/>
        <w:rPr/>
      </w:pPr>
      <w:hyperlink r:id="rId30">
        <w:r>
          <w:rPr>
            <w:rStyle w:val="Internetverknpfung"/>
            <w:sz w:val="24"/>
            <w:lang w:val="en-GB" w:eastAsia="ja-JP"/>
          </w:rPr>
          <w:t>pritychenko@bnl.gov</w:t>
        </w:r>
      </w:hyperlink>
    </w:p>
    <w:p>
      <w:pPr>
        <w:pStyle w:val="Normal"/>
        <w:rPr/>
      </w:pPr>
      <w:hyperlink r:id="rId31">
        <w:r>
          <w:rPr>
            <w:rStyle w:val="Internetverknpfung"/>
            <w:sz w:val="24"/>
            <w:lang w:val="en-GB" w:eastAsia="ja-JP"/>
          </w:rPr>
          <w:t>s.okumura@iaea.org</w:t>
        </w:r>
      </w:hyperlink>
    </w:p>
    <w:p>
      <w:pPr>
        <w:pStyle w:val="Normal"/>
        <w:rPr/>
      </w:pPr>
      <w:hyperlink r:id="rId32">
        <w:r>
          <w:rPr>
            <w:rStyle w:val="Internetverknpfung"/>
            <w:sz w:val="24"/>
            <w:lang w:val="en-GB" w:eastAsia="ja-JP"/>
          </w:rPr>
          <w:t>samaev@obninsk.ru</w:t>
        </w:r>
      </w:hyperlink>
    </w:p>
    <w:p>
      <w:pPr>
        <w:pStyle w:val="Normal"/>
        <w:rPr/>
      </w:pPr>
      <w:hyperlink r:id="rId33">
        <w:r>
          <w:rPr>
            <w:rStyle w:val="Internetverknpfung"/>
            <w:sz w:val="24"/>
            <w:lang w:val="en-GB" w:eastAsia="ja-JP"/>
          </w:rPr>
          <w:t>sbabykina@yandex.ru</w:t>
        </w:r>
      </w:hyperlink>
    </w:p>
    <w:p>
      <w:pPr>
        <w:pStyle w:val="Normal"/>
        <w:rPr/>
      </w:pPr>
      <w:hyperlink r:id="rId34">
        <w:r>
          <w:rPr>
            <w:rStyle w:val="Internetverknpfung"/>
            <w:sz w:val="24"/>
            <w:lang w:val="en-GB" w:eastAsia="ja-JP"/>
          </w:rPr>
          <w:t>scyang@kaeri.re.kr</w:t>
        </w:r>
      </w:hyperlink>
    </w:p>
    <w:p>
      <w:pPr>
        <w:pStyle w:val="Normal"/>
        <w:rPr/>
      </w:pPr>
      <w:hyperlink r:id="rId35">
        <w:r>
          <w:rPr>
            <w:rStyle w:val="Internetverknpfung"/>
            <w:sz w:val="24"/>
            <w:lang w:val="en-GB" w:eastAsia="ja-JP"/>
          </w:rPr>
          <w:t>selyankina@expd.vniief.ru</w:t>
        </w:r>
      </w:hyperlink>
    </w:p>
    <w:p>
      <w:pPr>
        <w:pStyle w:val="Normal"/>
        <w:rPr/>
      </w:pPr>
      <w:hyperlink r:id="rId36">
        <w:r>
          <w:rPr>
            <w:rStyle w:val="Internetverknpfung"/>
            <w:sz w:val="24"/>
            <w:lang w:val="en-GB" w:eastAsia="ja-JP"/>
          </w:rPr>
          <w:t>sonzogni@bnl.gov</w:t>
        </w:r>
      </w:hyperlink>
    </w:p>
    <w:p>
      <w:pPr>
        <w:pStyle w:val="Normal"/>
        <w:rPr/>
      </w:pPr>
      <w:hyperlink r:id="rId37">
        <w:r>
          <w:rPr>
            <w:rStyle w:val="Internetverknpfung"/>
            <w:sz w:val="24"/>
            <w:lang w:val="en-GB" w:eastAsia="ja-JP"/>
          </w:rPr>
          <w:t>stakacs@atomki.mta.hu</w:t>
        </w:r>
      </w:hyperlink>
    </w:p>
    <w:p>
      <w:pPr>
        <w:pStyle w:val="Normal"/>
        <w:rPr/>
      </w:pPr>
      <w:hyperlink r:id="rId38">
        <w:r>
          <w:rPr>
            <w:rStyle w:val="Internetverknpfung"/>
            <w:sz w:val="24"/>
            <w:lang w:val="en-GB" w:eastAsia="ja-JP"/>
          </w:rPr>
          <w:t>stanislav.hlavac@savba.sk</w:t>
        </w:r>
      </w:hyperlink>
    </w:p>
    <w:p>
      <w:pPr>
        <w:pStyle w:val="Normal"/>
        <w:rPr/>
      </w:pPr>
      <w:hyperlink r:id="rId39">
        <w:r>
          <w:rPr>
            <w:rStyle w:val="Internetverknpfung"/>
            <w:sz w:val="24"/>
            <w:lang w:val="en-GB" w:eastAsia="ja-JP"/>
          </w:rPr>
          <w:t>sv.dunaeva@gmail.com</w:t>
        </w:r>
      </w:hyperlink>
    </w:p>
    <w:p>
      <w:pPr>
        <w:pStyle w:val="Normal"/>
        <w:rPr/>
      </w:pPr>
      <w:hyperlink r:id="rId40">
        <w:r>
          <w:rPr>
            <w:rStyle w:val="Internetverknpfung"/>
            <w:sz w:val="24"/>
            <w:lang w:val="en-GB" w:eastAsia="ja-JP"/>
          </w:rPr>
          <w:t>tada@nucl.sci.hokudai.ac.jp</w:t>
        </w:r>
      </w:hyperlink>
    </w:p>
    <w:p>
      <w:pPr>
        <w:pStyle w:val="Normal"/>
        <w:rPr/>
      </w:pPr>
      <w:hyperlink r:id="rId41">
        <w:r>
          <w:rPr>
            <w:rStyle w:val="Internetverknpfung"/>
            <w:sz w:val="24"/>
            <w:lang w:val="en-GB" w:eastAsia="ja-JP"/>
          </w:rPr>
          <w:t>taova@expd.vniief.ru</w:t>
        </w:r>
      </w:hyperlink>
    </w:p>
    <w:p>
      <w:pPr>
        <w:pStyle w:val="Normal"/>
        <w:rPr/>
      </w:pPr>
      <w:hyperlink r:id="rId42">
        <w:r>
          <w:rPr>
            <w:rStyle w:val="Internetverknpfung"/>
            <w:sz w:val="24"/>
            <w:lang w:val="en-GB" w:eastAsia="ja-JP"/>
          </w:rPr>
          <w:t>tarkanyi@atomki.hu</w:t>
        </w:r>
      </w:hyperlink>
    </w:p>
    <w:p>
      <w:pPr>
        <w:pStyle w:val="Normal"/>
        <w:rPr/>
      </w:pPr>
      <w:hyperlink r:id="rId43">
        <w:r>
          <w:rPr>
            <w:rStyle w:val="Internetverknpfung"/>
            <w:sz w:val="24"/>
            <w:lang w:val="en-GB" w:eastAsia="ja-JP"/>
          </w:rPr>
          <w:t>vvvarlamov@gmail.com</w:t>
        </w:r>
      </w:hyperlink>
    </w:p>
    <w:p>
      <w:pPr>
        <w:pStyle w:val="Normal"/>
        <w:rPr/>
      </w:pPr>
      <w:hyperlink r:id="rId44">
        <w:r>
          <w:rPr>
            <w:rStyle w:val="Internetverknpfung"/>
            <w:sz w:val="24"/>
            <w:lang w:val="en-GB" w:eastAsia="ja-JP"/>
          </w:rPr>
          <w:t>v.zerkin@iaea.org</w:t>
        </w:r>
      </w:hyperlink>
    </w:p>
    <w:p>
      <w:pPr>
        <w:pStyle w:val="Normal"/>
        <w:rPr/>
      </w:pPr>
      <w:hyperlink r:id="rId45">
        <w:r>
          <w:rPr>
            <w:rStyle w:val="Internetverknpfung"/>
            <w:sz w:val="24"/>
            <w:lang w:val="en-GB" w:eastAsia="ja-JP"/>
          </w:rPr>
          <w:t>vidyathakur@yahoo.co.in</w:t>
        </w:r>
      </w:hyperlink>
    </w:p>
    <w:p>
      <w:pPr>
        <w:pStyle w:val="Normal"/>
        <w:rPr/>
      </w:pPr>
      <w:hyperlink r:id="rId46">
        <w:r>
          <w:rPr>
            <w:rStyle w:val="Internetverknpfung"/>
            <w:sz w:val="24"/>
            <w:lang w:val="en-GB" w:eastAsia="ja-JP"/>
          </w:rPr>
          <w:t>vsemkova@inrne.bas.bg</w:t>
        </w:r>
      </w:hyperlink>
    </w:p>
    <w:p>
      <w:pPr>
        <w:pStyle w:val="Normal"/>
        <w:rPr/>
      </w:pPr>
      <w:hyperlink r:id="rId47">
        <w:r>
          <w:rPr>
            <w:rStyle w:val="Internetverknpfung"/>
            <w:sz w:val="24"/>
            <w:lang w:val="en-GB" w:eastAsia="ja-JP"/>
          </w:rPr>
          <w:t>yolee@kaeri.re.kr</w:t>
        </w:r>
      </w:hyperlink>
    </w:p>
    <w:p>
      <w:pPr>
        <w:pStyle w:val="Normal"/>
        <w:rPr/>
      </w:pPr>
      <w:hyperlink r:id="rId48">
        <w:r>
          <w:rPr>
            <w:rStyle w:val="Internetverknpfung"/>
            <w:sz w:val="24"/>
            <w:lang w:val="en-GB" w:eastAsia="ja-JP"/>
          </w:rPr>
          <w:t>zholdybayev@inp.kz</w:t>
        </w:r>
      </w:hyperlink>
    </w:p>
    <w:sectPr>
      <w:type w:val="continuous"/>
      <w:pgSz w:w="11906" w:h="16838"/>
      <w:pgMar w:left="1174" w:right="1174" w:header="0" w:top="1440" w:footer="1440" w:bottom="1954" w:gutter="0"/>
      <w:cols w:num="2" w:space="720"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roman"/>
    <w:pitch w:val="variable"/>
  </w:font>
  <w:font w:name="OpenSymbol">
    <w:altName w:val="Arial Unicode MS"/>
    <w:charset w:val="00"/>
    <w:family w:val="roman"/>
    <w:pitch w:val="variable"/>
  </w:font>
  <w:font w:name="Arial">
    <w:charset w:val="00"/>
    <w:family w:val="roman"/>
    <w:pitch w:val="variable"/>
  </w:font>
  <w:font w:name="Tahom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jc w:val="center"/>
      <w:rPr/>
    </w:pPr>
    <w:r>
      <w:rPr/>
      <w:fldChar w:fldCharType="begin"/>
    </w:r>
    <w:r>
      <w:rPr/>
      <w:instrText> PAGE </w:instrText>
    </w:r>
    <w:r>
      <w:rPr/>
      <w:fldChar w:fldCharType="separate"/>
    </w:r>
    <w:r>
      <w:rPr/>
      <w:t>3</w:t>
    </w:r>
    <w:r>
      <w:rPr/>
      <w:fldChar w:fldCharType="end"/>
    </w:r>
  </w:p>
</w:ftr>
</file>

<file path=word/settings.xml><?xml version="1.0" encoding="utf-8"?>
<w:settings xmlns:w="http://schemas.openxmlformats.org/wordprocessingml/2006/main">
  <w:zoom w:percent="100"/>
  <w:displayBackgroundShape/>
  <w:defaultTabStop w:val="720"/>
  <w:autoHyphenation w:val="false"/>
  <w:compat>
    <w:compatSetting w:name="compatibilityMode" w:uri="http://schemas.microsoft.com/office/word" w:val="12"/>
    <w:compatSetting w:name="useWord2013TrackBottomHyphenation"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MS Mincho" w:cs="Lucida Sans"/>
        <w:szCs w:val="24"/>
        <w:lang w:val="de-DE" w:eastAsia="zh-CN" w:bidi="hi-IN"/>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Times New Roman" w:hAnsi="Times New Roman" w:eastAsia="MS Mincho;ＭＳ 明朝" w:cs="Times New Roman"/>
      <w:color w:val="auto"/>
      <w:kern w:val="0"/>
      <w:sz w:val="20"/>
      <w:szCs w:val="20"/>
      <w:lang w:val="en-US" w:eastAsia="zh-CN" w:bidi="ar-SA"/>
    </w:rPr>
  </w:style>
  <w:style w:type="character" w:styleId="DefaultParagraphFont" w:default="1">
    <w:name w:val="Default Paragraph Font"/>
    <w:uiPriority w:val="1"/>
    <w:semiHidden/>
    <w:unhideWhenUsed/>
    <w:qFormat/>
    <w:rPr/>
  </w:style>
  <w:style w:type="character" w:styleId="AbsatzStandardschriftart" w:customStyle="1">
    <w:name w:val="Absatz-Standardschriftart"/>
    <w:qFormat/>
    <w:rPr/>
  </w:style>
  <w:style w:type="character" w:styleId="AbsatzStandardschriftart2" w:customStyle="1">
    <w:name w:val="Absatz-Standardschriftart2"/>
    <w:qFormat/>
    <w:rPr/>
  </w:style>
  <w:style w:type="character" w:styleId="WWAbsatzStandardschriftart" w:customStyle="1">
    <w:name w:val="WW-Absatz-Standardschriftart"/>
    <w:qFormat/>
    <w:rPr/>
  </w:style>
  <w:style w:type="character" w:styleId="WWAbsatzStandardschriftart1" w:customStyle="1">
    <w:name w:val="WW-Absatz-Standardschriftart1"/>
    <w:qFormat/>
    <w:rPr/>
  </w:style>
  <w:style w:type="character" w:styleId="WWAbsatzStandardschriftart11" w:customStyle="1">
    <w:name w:val="WW-Absatz-Standardschriftart11"/>
    <w:qFormat/>
    <w:rPr/>
  </w:style>
  <w:style w:type="character" w:styleId="WWAbsatzStandardschriftart111" w:customStyle="1">
    <w:name w:val="WW-Absatz-Standardschriftart111"/>
    <w:qFormat/>
    <w:rPr/>
  </w:style>
  <w:style w:type="character" w:styleId="WWAbsatzStandardschriftart1111" w:customStyle="1">
    <w:name w:val="WW-Absatz-Standardschriftart1111"/>
    <w:qFormat/>
    <w:rPr/>
  </w:style>
  <w:style w:type="character" w:styleId="WWAbsatzStandardschriftart11111" w:customStyle="1">
    <w:name w:val="WW-Absatz-Standardschriftart11111"/>
    <w:qFormat/>
    <w:rPr/>
  </w:style>
  <w:style w:type="character" w:styleId="WWAbsatzStandardschriftart111111" w:customStyle="1">
    <w:name w:val="WW-Absatz-Standardschriftart111111"/>
    <w:qFormat/>
    <w:rPr/>
  </w:style>
  <w:style w:type="character" w:styleId="WWAbsatzStandardschriftart1111111" w:customStyle="1">
    <w:name w:val="WW-Absatz-Standardschriftart1111111"/>
    <w:qFormat/>
    <w:rPr/>
  </w:style>
  <w:style w:type="character" w:styleId="WWDefaultParagraphFont" w:customStyle="1">
    <w:name w:val="WW-Default Paragraph Font"/>
    <w:qFormat/>
    <w:rPr/>
  </w:style>
  <w:style w:type="character" w:styleId="WWAbsatzStandardschriftart11111111" w:customStyle="1">
    <w:name w:val="WW-Absatz-Standardschriftart11111111"/>
    <w:qFormat/>
    <w:rPr/>
  </w:style>
  <w:style w:type="character" w:styleId="WWAbsatzStandardschriftart111111111" w:customStyle="1">
    <w:name w:val="WW-Absatz-Standardschriftart111111111"/>
    <w:qFormat/>
    <w:rPr/>
  </w:style>
  <w:style w:type="character" w:styleId="WWAbsatzStandardschriftart1111111111" w:customStyle="1">
    <w:name w:val="WW-Absatz-Standardschriftart1111111111"/>
    <w:qFormat/>
    <w:rPr/>
  </w:style>
  <w:style w:type="character" w:styleId="WWAbsatzStandardschriftart11111111111" w:customStyle="1">
    <w:name w:val="WW-Absatz-Standardschriftart11111111111"/>
    <w:qFormat/>
    <w:rPr/>
  </w:style>
  <w:style w:type="character" w:styleId="WWAbsatzStandardschriftart111111111111" w:customStyle="1">
    <w:name w:val="WW-Absatz-Standardschriftart111111111111"/>
    <w:qFormat/>
    <w:rPr/>
  </w:style>
  <w:style w:type="character" w:styleId="WWAbsatzStandardschriftart1111111111111" w:customStyle="1">
    <w:name w:val="WW-Absatz-Standardschriftart1111111111111"/>
    <w:qFormat/>
    <w:rPr/>
  </w:style>
  <w:style w:type="character" w:styleId="WWAbsatzStandardschriftart11111111111111" w:customStyle="1">
    <w:name w:val="WW-Absatz-Standardschriftart11111111111111"/>
    <w:qFormat/>
    <w:rPr/>
  </w:style>
  <w:style w:type="character" w:styleId="WWAbsatzStandardschriftart111111111111111" w:customStyle="1">
    <w:name w:val="WW-Absatz-Standardschriftart111111111111111"/>
    <w:qFormat/>
    <w:rPr/>
  </w:style>
  <w:style w:type="character" w:styleId="WWAbsatzStandardschriftart1111111111111111" w:customStyle="1">
    <w:name w:val="WW-Absatz-Standardschriftart1111111111111111"/>
    <w:qFormat/>
    <w:rPr/>
  </w:style>
  <w:style w:type="character" w:styleId="WWAbsatzStandardschriftart11111111111111111" w:customStyle="1">
    <w:name w:val="WW-Absatz-Standardschriftart11111111111111111"/>
    <w:qFormat/>
    <w:rPr/>
  </w:style>
  <w:style w:type="character" w:styleId="WWDefaultParagraphFont1" w:customStyle="1">
    <w:name w:val="WW-Default Paragraph Font1"/>
    <w:qFormat/>
    <w:rPr/>
  </w:style>
  <w:style w:type="character" w:styleId="WWAbsatzStandardschriftart111111111111111111" w:customStyle="1">
    <w:name w:val="WW-Absatz-Standardschriftart111111111111111111"/>
    <w:qFormat/>
    <w:rPr/>
  </w:style>
  <w:style w:type="character" w:styleId="WWAbsatzStandardschriftart1111111111111111111" w:customStyle="1">
    <w:name w:val="WW-Absatz-Standardschriftart1111111111111111111"/>
    <w:qFormat/>
    <w:rPr/>
  </w:style>
  <w:style w:type="character" w:styleId="WWAbsatzStandardschriftart11111111111111111111" w:customStyle="1">
    <w:name w:val="WW-Absatz-Standardschriftart11111111111111111111"/>
    <w:qFormat/>
    <w:rPr/>
  </w:style>
  <w:style w:type="character" w:styleId="WWAbsatzStandardschriftart111111111111111111111" w:customStyle="1">
    <w:name w:val="WW-Absatz-Standardschriftart111111111111111111111"/>
    <w:qFormat/>
    <w:rPr/>
  </w:style>
  <w:style w:type="character" w:styleId="WWAbsatzStandardschriftart1111111111111111111111" w:customStyle="1">
    <w:name w:val="WW-Absatz-Standardschriftart1111111111111111111111"/>
    <w:qFormat/>
    <w:rPr/>
  </w:style>
  <w:style w:type="character" w:styleId="WWAbsatzStandardschriftart11111111111111111111111" w:customStyle="1">
    <w:name w:val="WW-Absatz-Standardschriftart11111111111111111111111"/>
    <w:qFormat/>
    <w:rPr/>
  </w:style>
  <w:style w:type="character" w:styleId="WWAbsatzStandardschriftart111111111111111111111111" w:customStyle="1">
    <w:name w:val="WW-Absatz-Standardschriftart111111111111111111111111"/>
    <w:qFormat/>
    <w:rPr/>
  </w:style>
  <w:style w:type="character" w:styleId="WWAbsatzStandardschriftart1111111111111111111111111" w:customStyle="1">
    <w:name w:val="WW-Absatz-Standardschriftart1111111111111111111111111"/>
    <w:qFormat/>
    <w:rPr/>
  </w:style>
  <w:style w:type="character" w:styleId="WWAbsatzStandardschriftart11111111111111111111111111" w:customStyle="1">
    <w:name w:val="WW-Absatz-Standardschriftart11111111111111111111111111"/>
    <w:qFormat/>
    <w:rPr/>
  </w:style>
  <w:style w:type="character" w:styleId="WWAbsatzStandardschriftart111111111111111111111111111" w:customStyle="1">
    <w:name w:val="WW-Absatz-Standardschriftart111111111111111111111111111"/>
    <w:qFormat/>
    <w:rPr/>
  </w:style>
  <w:style w:type="character" w:styleId="WWAbsatzStandardschriftart1111111111111111111111111111" w:customStyle="1">
    <w:name w:val="WW-Absatz-Standardschriftart1111111111111111111111111111"/>
    <w:qFormat/>
    <w:rPr/>
  </w:style>
  <w:style w:type="character" w:styleId="WWAbsatzStandardschriftart11111111111111111111111111111" w:customStyle="1">
    <w:name w:val="WW-Absatz-Standardschriftart11111111111111111111111111111"/>
    <w:qFormat/>
    <w:rPr/>
  </w:style>
  <w:style w:type="character" w:styleId="WWAbsatzStandardschriftart111111111111111111111111111111" w:customStyle="1">
    <w:name w:val="WW-Absatz-Standardschriftart111111111111111111111111111111"/>
    <w:qFormat/>
    <w:rPr/>
  </w:style>
  <w:style w:type="character" w:styleId="WWAbsatzStandardschriftart1111111111111111111111111111111" w:customStyle="1">
    <w:name w:val="WW-Absatz-Standardschriftart1111111111111111111111111111111"/>
    <w:qFormat/>
    <w:rPr/>
  </w:style>
  <w:style w:type="character" w:styleId="WWAbsatzStandardschriftart11111111111111111111111111111111" w:customStyle="1">
    <w:name w:val="WW-Absatz-Standardschriftart11111111111111111111111111111111"/>
    <w:qFormat/>
    <w:rPr/>
  </w:style>
  <w:style w:type="character" w:styleId="WWAbsatzStandardschriftart111111111111111111111111111111111" w:customStyle="1">
    <w:name w:val="WW-Absatz-Standardschriftart111111111111111111111111111111111"/>
    <w:qFormat/>
    <w:rPr/>
  </w:style>
  <w:style w:type="character" w:styleId="WWAbsatzStandardschriftart1111111111111111111111111111111111" w:customStyle="1">
    <w:name w:val="WW-Absatz-Standardschriftart1111111111111111111111111111111111"/>
    <w:qFormat/>
    <w:rPr/>
  </w:style>
  <w:style w:type="character" w:styleId="WWAbsatzStandardschriftart11111111111111111111111111111111111" w:customStyle="1">
    <w:name w:val="WW-Absatz-Standardschriftart11111111111111111111111111111111111"/>
    <w:qFormat/>
    <w:rPr/>
  </w:style>
  <w:style w:type="character" w:styleId="WWAbsatzStandardschriftart111111111111111111111111111111111111" w:customStyle="1">
    <w:name w:val="WW-Absatz-Standardschriftart111111111111111111111111111111111111"/>
    <w:qFormat/>
    <w:rPr/>
  </w:style>
  <w:style w:type="character" w:styleId="WWAbsatzStandardschriftart1111111111111111111111111111111111111" w:customStyle="1">
    <w:name w:val="WW-Absatz-Standardschriftart1111111111111111111111111111111111111"/>
    <w:qFormat/>
    <w:rPr/>
  </w:style>
  <w:style w:type="character" w:styleId="WWAbsatzStandardschriftart11111111111111111111111111111111111111" w:customStyle="1">
    <w:name w:val="WW-Absatz-Standardschriftart11111111111111111111111111111111111111"/>
    <w:qFormat/>
    <w:rPr/>
  </w:style>
  <w:style w:type="character" w:styleId="WWAbsatzStandardschriftart111111111111111111111111111111111111111" w:customStyle="1">
    <w:name w:val="WW-Absatz-Standardschriftart111111111111111111111111111111111111111"/>
    <w:qFormat/>
    <w:rPr/>
  </w:style>
  <w:style w:type="character" w:styleId="WWAbsatzStandardschriftart1111111111111111111111111111111111111111" w:customStyle="1">
    <w:name w:val="WW-Absatz-Standardschriftart1111111111111111111111111111111111111111"/>
    <w:qFormat/>
    <w:rPr/>
  </w:style>
  <w:style w:type="character" w:styleId="WWAbsatzStandardschriftart11111111111111111111111111111111111111111" w:customStyle="1">
    <w:name w:val="WW-Absatz-Standardschriftart11111111111111111111111111111111111111111"/>
    <w:qFormat/>
    <w:rPr/>
  </w:style>
  <w:style w:type="character" w:styleId="WWAbsatzStandardschriftart111111111111111111111111111111111111111111" w:customStyle="1">
    <w:name w:val="WW-Absatz-Standardschriftart111111111111111111111111111111111111111111"/>
    <w:qFormat/>
    <w:rPr/>
  </w:style>
  <w:style w:type="character" w:styleId="WWAbsatzStandardschriftart1111111111111111111111111111111111111111111" w:customStyle="1">
    <w:name w:val="WW-Absatz-Standardschriftart1111111111111111111111111111111111111111111"/>
    <w:qFormat/>
    <w:rPr/>
  </w:style>
  <w:style w:type="character" w:styleId="WWAbsatzStandardschriftart11111111111111111111111111111111111111111111" w:customStyle="1">
    <w:name w:val="WW-Absatz-Standardschriftart11111111111111111111111111111111111111111111"/>
    <w:qFormat/>
    <w:rPr/>
  </w:style>
  <w:style w:type="character" w:styleId="WWAbsatzStandardschriftart111111111111111111111111111111111111111111111" w:customStyle="1">
    <w:name w:val="WW-Absatz-Standardschriftart111111111111111111111111111111111111111111111"/>
    <w:qFormat/>
    <w:rPr/>
  </w:style>
  <w:style w:type="character" w:styleId="WWAbsatzStandardschriftart1111111111111111111111111111111111111111111111" w:customStyle="1">
    <w:name w:val="WW-Absatz-Standardschriftart1111111111111111111111111111111111111111111111"/>
    <w:qFormat/>
    <w:rPr/>
  </w:style>
  <w:style w:type="character" w:styleId="WWAbsatzStandardschriftart11111111111111111111111111111111111111111111111" w:customStyle="1">
    <w:name w:val="WW-Absatz-Standardschriftart11111111111111111111111111111111111111111111111"/>
    <w:qFormat/>
    <w:rPr/>
  </w:style>
  <w:style w:type="character" w:styleId="WWAbsatzStandardschriftart111111111111111111111111111111111111111111111111" w:customStyle="1">
    <w:name w:val="WW-Absatz-Standardschriftart111111111111111111111111111111111111111111111111"/>
    <w:qFormat/>
    <w:rPr/>
  </w:style>
  <w:style w:type="character" w:styleId="WWAbsatzStandardschriftart1111111111111111111111111111111111111111111111111" w:customStyle="1">
    <w:name w:val="WW-Absatz-Standardschriftart1111111111111111111111111111111111111111111111111"/>
    <w:qFormat/>
    <w:rPr/>
  </w:style>
  <w:style w:type="character" w:styleId="WWAbsatzStandardschriftart11111111111111111111111111111111111111111111111111" w:customStyle="1">
    <w:name w:val="WW-Absatz-Standardschriftart11111111111111111111111111111111111111111111111111"/>
    <w:qFormat/>
    <w:rPr/>
  </w:style>
  <w:style w:type="character" w:styleId="WWAbsatzStandardschriftart111111111111111111111111111111111111111111111111111" w:customStyle="1">
    <w:name w:val="WW-Absatz-Standardschriftart111111111111111111111111111111111111111111111111111"/>
    <w:qFormat/>
    <w:rPr/>
  </w:style>
  <w:style w:type="character" w:styleId="AbsatzStandardschriftart1" w:customStyle="1">
    <w:name w:val="Absatz-Standardschriftart1"/>
    <w:qFormat/>
    <w:rPr/>
  </w:style>
  <w:style w:type="character" w:styleId="WWAbsatzStandardschriftart1111111111111111111111111111111111111111111111111111" w:customStyle="1">
    <w:name w:val="WW-Absatz-Standardschriftart1111111111111111111111111111111111111111111111111111"/>
    <w:qFormat/>
    <w:rPr/>
  </w:style>
  <w:style w:type="character" w:styleId="WWAbsatzStandardschriftart11111111111111111111111111111111111111111111111111111" w:customStyle="1">
    <w:name w:val="WW-Absatz-Standardschriftart11111111111111111111111111111111111111111111111111111"/>
    <w:qFormat/>
    <w:rPr/>
  </w:style>
  <w:style w:type="character" w:styleId="WWAbsatzStandardschriftart111111111111111111111111111111111111111111111111111111" w:customStyle="1">
    <w:name w:val="WW-Absatz-Standardschriftart111111111111111111111111111111111111111111111111111111"/>
    <w:qFormat/>
    <w:rPr/>
  </w:style>
  <w:style w:type="character" w:styleId="WWAbsatzStandardschriftart1111111111111111111111111111111111111111111111111111111" w:customStyle="1">
    <w:name w:val="WW-Absatz-Standardschriftart1111111111111111111111111111111111111111111111111111111"/>
    <w:qFormat/>
    <w:rPr/>
  </w:style>
  <w:style w:type="character" w:styleId="WWAbsatzStandardschriftart11111111111111111111111111111111111111111111111111111111" w:customStyle="1">
    <w:name w:val="WW-Absatz-Standardschriftart11111111111111111111111111111111111111111111111111111111"/>
    <w:qFormat/>
    <w:rPr/>
  </w:style>
  <w:style w:type="character" w:styleId="WWAbsatzStandardschriftart111111111111111111111111111111111111111111111111111111111" w:customStyle="1">
    <w:name w:val="WW-Absatz-Standardschriftart111111111111111111111111111111111111111111111111111111111"/>
    <w:qFormat/>
    <w:rPr/>
  </w:style>
  <w:style w:type="character" w:styleId="WW8Num1z0" w:customStyle="1">
    <w:name w:val="WW8Num1z0"/>
    <w:qFormat/>
    <w:rPr>
      <w:rFonts w:ascii="Times New Roman" w:hAnsi="Times New Roman" w:cs="Times New Roman"/>
    </w:rPr>
  </w:style>
  <w:style w:type="character" w:styleId="WWDefaultParagraphFont11" w:customStyle="1">
    <w:name w:val="WW-Default Paragraph Font11"/>
    <w:qFormat/>
    <w:rPr/>
  </w:style>
  <w:style w:type="character" w:styleId="WWAbsatzStandardschriftart1111111111111111111111111111111111111111111111111111111111" w:customStyle="1">
    <w:name w:val="WW-Absatz-Standardschriftart1111111111111111111111111111111111111111111111111111111111"/>
    <w:qFormat/>
    <w:rPr/>
  </w:style>
  <w:style w:type="character" w:styleId="WWAbsatzStandardschriftart11111111111111111111111111111111111111111111111111111111111" w:customStyle="1">
    <w:name w:val="WW-Absatz-Standardschriftart11111111111111111111111111111111111111111111111111111111111"/>
    <w:qFormat/>
    <w:rPr/>
  </w:style>
  <w:style w:type="character" w:styleId="WWAbsatzStandardschriftart111111111111111111111111111111111111111111111111111111111111" w:customStyle="1">
    <w:name w:val="WW-Absatz-Standardschriftart111111111111111111111111111111111111111111111111111111111111"/>
    <w:qFormat/>
    <w:rPr/>
  </w:style>
  <w:style w:type="character" w:styleId="WWAbsatzStandardschriftart1111111111111111111111111111111111111111111111111111111111111" w:customStyle="1">
    <w:name w:val="WW-Absatz-Standardschriftart1111111111111111111111111111111111111111111111111111111111111"/>
    <w:qFormat/>
    <w:rPr/>
  </w:style>
  <w:style w:type="character" w:styleId="WWAbsatzStandardschriftart11111111111111111111111111111111111111111111111111111111111111" w:customStyle="1">
    <w:name w:val="WW-Absatz-Standardschriftart11111111111111111111111111111111111111111111111111111111111111"/>
    <w:qFormat/>
    <w:rPr/>
  </w:style>
  <w:style w:type="character" w:styleId="WWAbsatzStandardschriftart111111111111111111111111111111111111111111111111111111111111111" w:customStyle="1">
    <w:name w:val="WW-Absatz-Standardschriftart111111111111111111111111111111111111111111111111111111111111111"/>
    <w:qFormat/>
    <w:rPr/>
  </w:style>
  <w:style w:type="character" w:styleId="WWDefaultParagraphFont111" w:customStyle="1">
    <w:name w:val="WW-Default Paragraph Font111"/>
    <w:qFormat/>
    <w:rPr/>
  </w:style>
  <w:style w:type="character" w:styleId="WWDefaultParagraphFont1111" w:customStyle="1">
    <w:name w:val="WW-Default Paragraph Font1111"/>
    <w:qFormat/>
    <w:rPr/>
  </w:style>
  <w:style w:type="character" w:styleId="WWAbsatzStandardschriftart1111111111111111111111111111111111111111111111111111111111111111" w:customStyle="1">
    <w:name w:val="WW-Absatz-Standardschriftart1111111111111111111111111111111111111111111111111111111111111111"/>
    <w:qFormat/>
    <w:rPr/>
  </w:style>
  <w:style w:type="character" w:styleId="Style14" w:customStyle="1">
    <w:name w:val="段落フォント"/>
    <w:qFormat/>
    <w:rPr/>
  </w:style>
  <w:style w:type="character" w:styleId="CharChar" w:customStyle="1">
    <w:name w:val="Char Char"/>
    <w:qFormat/>
    <w:rPr>
      <w:rFonts w:ascii="Courier New" w:hAnsi="Courier New" w:eastAsia="MS Mincho;ＭＳ 明朝" w:cs="Courier New"/>
      <w:lang w:val="en-ZW" w:bidi="ar-SA"/>
    </w:rPr>
  </w:style>
  <w:style w:type="character" w:styleId="WWCharChar" w:customStyle="1">
    <w:name w:val="WW- Char Char"/>
    <w:qFormat/>
    <w:rPr>
      <w:rFonts w:ascii="Courier New" w:hAnsi="Courier New" w:eastAsia="MS Mincho;ＭＳ 明朝" w:cs="Courier New"/>
      <w:lang w:val="en-ZW" w:bidi="ar-SA"/>
    </w:rPr>
  </w:style>
  <w:style w:type="character" w:styleId="Internetverknpfung" w:customStyle="1">
    <w:name w:val="Internetverknüpfung"/>
    <w:rPr>
      <w:color w:val="0000FF"/>
      <w:u w:val="single"/>
    </w:rPr>
  </w:style>
  <w:style w:type="character" w:styleId="Aufzhlungszeichen1" w:customStyle="1">
    <w:name w:val="Aufzählungszeichen1"/>
    <w:qFormat/>
    <w:rPr>
      <w:rFonts w:ascii="OpenSymbol;Arial Unicode MS" w:hAnsi="OpenSymbol;Arial Unicode MS" w:eastAsia="OpenSymbol;Arial Unicode MS" w:cs="OpenSymbol;Arial Unicode MS"/>
    </w:rPr>
  </w:style>
  <w:style w:type="character" w:styleId="Aufzhlungszeichen2" w:customStyle="1">
    <w:name w:val="Aufzählungszeichen2"/>
    <w:qFormat/>
    <w:rPr>
      <w:rFonts w:ascii="OpenSymbol;Arial Unicode MS" w:hAnsi="OpenSymbol;Arial Unicode MS" w:eastAsia="OpenSymbol;Arial Unicode MS" w:cs="OpenSymbol;Arial Unicode MS"/>
    </w:rPr>
  </w:style>
  <w:style w:type="character" w:styleId="Nummerierungszeichen" w:customStyle="1">
    <w:name w:val="Nummerierungszeichen"/>
    <w:qFormat/>
    <w:rPr/>
  </w:style>
  <w:style w:type="character" w:styleId="Funotenzeichen1" w:customStyle="1">
    <w:name w:val="Fußnotenzeichen1"/>
    <w:qFormat/>
    <w:rPr>
      <w:vertAlign w:val="superscript"/>
    </w:rPr>
  </w:style>
  <w:style w:type="character" w:styleId="WWFunotenzeichen" w:customStyle="1">
    <w:name w:val="WW-Fußnotenzeichen"/>
    <w:qFormat/>
    <w:rPr/>
  </w:style>
  <w:style w:type="character" w:styleId="Endnotenzeichen1" w:customStyle="1">
    <w:name w:val="Endnotenzeichen1"/>
    <w:qFormat/>
    <w:rPr>
      <w:vertAlign w:val="superscript"/>
    </w:rPr>
  </w:style>
  <w:style w:type="character" w:styleId="WWEndnotenzeichen" w:customStyle="1">
    <w:name w:val="WW-Endnotenzeichen"/>
    <w:qFormat/>
    <w:rPr/>
  </w:style>
  <w:style w:type="character" w:styleId="Funotenzeichen" w:customStyle="1">
    <w:name w:val="Fußnotenzeichen"/>
    <w:qFormat/>
    <w:rPr>
      <w:vertAlign w:val="superscript"/>
    </w:rPr>
  </w:style>
  <w:style w:type="character" w:styleId="Endnotenzeichen" w:customStyle="1">
    <w:name w:val="Endnotenzeichen"/>
    <w:qFormat/>
    <w:rPr>
      <w:vertAlign w:val="superscript"/>
    </w:rPr>
  </w:style>
  <w:style w:type="paragraph" w:styleId="Berschrift" w:customStyle="1">
    <w:name w:val="Überschrift"/>
    <w:basedOn w:val="Normal"/>
    <w:next w:val="Textkrper"/>
    <w:qFormat/>
    <w:pPr>
      <w:keepNext w:val="true"/>
      <w:spacing w:before="240" w:after="120"/>
    </w:pPr>
    <w:rPr>
      <w:rFonts w:ascii="Arial" w:hAnsi="Arial" w:cs="Tahoma"/>
      <w:sz w:val="28"/>
      <w:szCs w:val="28"/>
    </w:rPr>
  </w:style>
  <w:style w:type="paragraph" w:styleId="Textkrper">
    <w:name w:val="Body Text"/>
    <w:basedOn w:val="Normal"/>
    <w:pPr>
      <w:spacing w:before="0" w:after="120"/>
    </w:pPr>
    <w:rPr/>
  </w:style>
  <w:style w:type="paragraph" w:styleId="Liste">
    <w:name w:val="List"/>
    <w:basedOn w:val="Textkrper"/>
    <w:pPr/>
    <w:rPr>
      <w:rFonts w:cs="Tahoma"/>
    </w:rPr>
  </w:style>
  <w:style w:type="paragraph" w:styleId="Beschriftung">
    <w:name w:val="Caption"/>
    <w:basedOn w:val="Normal"/>
    <w:qFormat/>
    <w:pPr>
      <w:suppressLineNumbers/>
      <w:spacing w:before="120" w:after="120"/>
    </w:pPr>
    <w:rPr>
      <w:rFonts w:cs="Lucida Sans"/>
      <w:i/>
      <w:iCs/>
      <w:sz w:val="24"/>
      <w:szCs w:val="24"/>
    </w:rPr>
  </w:style>
  <w:style w:type="paragraph" w:styleId="Verzeichnis" w:customStyle="1">
    <w:name w:val="Verzeichnis"/>
    <w:basedOn w:val="Normal"/>
    <w:qFormat/>
    <w:pPr>
      <w:suppressLineNumbers/>
    </w:pPr>
    <w:rPr>
      <w:rFonts w:cs="Tahoma"/>
    </w:rPr>
  </w:style>
  <w:style w:type="paragraph" w:styleId="Caption">
    <w:name w:val="caption"/>
    <w:basedOn w:val="Normal"/>
    <w:qFormat/>
    <w:pPr>
      <w:suppressLineNumbers/>
      <w:spacing w:before="120" w:after="120"/>
    </w:pPr>
    <w:rPr>
      <w:rFonts w:cs="Lucida Sans"/>
      <w:i/>
      <w:iCs/>
      <w:sz w:val="24"/>
      <w:szCs w:val="24"/>
    </w:rPr>
  </w:style>
  <w:style w:type="paragraph" w:styleId="Beschriftung2" w:customStyle="1">
    <w:name w:val="Beschriftung2"/>
    <w:basedOn w:val="Normal"/>
    <w:qFormat/>
    <w:pPr>
      <w:suppressLineNumbers/>
      <w:spacing w:before="120" w:after="120"/>
    </w:pPr>
    <w:rPr>
      <w:rFonts w:cs="Mangal"/>
      <w:i/>
      <w:iCs/>
      <w:sz w:val="24"/>
      <w:szCs w:val="24"/>
    </w:rPr>
  </w:style>
  <w:style w:type="paragraph" w:styleId="Beschriftung1" w:customStyle="1">
    <w:name w:val="Beschriftung1"/>
    <w:basedOn w:val="Normal"/>
    <w:qFormat/>
    <w:pPr>
      <w:suppressLineNumbers/>
      <w:spacing w:before="120" w:after="120"/>
    </w:pPr>
    <w:rPr>
      <w:rFonts w:cs="Tahoma"/>
      <w:i/>
      <w:iCs/>
      <w:sz w:val="24"/>
      <w:szCs w:val="24"/>
    </w:rPr>
  </w:style>
  <w:style w:type="paragraph" w:styleId="HTML" w:customStyle="1">
    <w:name w:val="HTML 書式付き"/>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lang w:val="en-ZW"/>
    </w:rPr>
  </w:style>
  <w:style w:type="paragraph" w:styleId="BalloonText">
    <w:name w:val="Balloon Text"/>
    <w:basedOn w:val="Normal"/>
    <w:qFormat/>
    <w:pPr/>
    <w:rPr>
      <w:rFonts w:ascii="Tahoma" w:hAnsi="Tahoma" w:cs="Tahoma"/>
      <w:sz w:val="16"/>
      <w:szCs w:val="16"/>
    </w:rPr>
  </w:style>
  <w:style w:type="paragraph" w:styleId="TabellenInhalt" w:customStyle="1">
    <w:name w:val="Tabellen Inhalt"/>
    <w:basedOn w:val="Normal"/>
    <w:qFormat/>
    <w:pPr>
      <w:suppressLineNumbers/>
    </w:pPr>
    <w:rPr/>
  </w:style>
  <w:style w:type="paragraph" w:styleId="Tabellenberschrift" w:customStyle="1">
    <w:name w:val="Tabellen Überschrift"/>
    <w:basedOn w:val="TabellenInhalt"/>
    <w:qFormat/>
    <w:pPr>
      <w:jc w:val="center"/>
    </w:pPr>
    <w:rPr>
      <w:b/>
      <w:bCs/>
    </w:rPr>
  </w:style>
  <w:style w:type="paragraph" w:styleId="VorformatierterText" w:customStyle="1">
    <w:name w:val="Vorformatierter Text"/>
    <w:basedOn w:val="Normal"/>
    <w:qFormat/>
    <w:pPr/>
    <w:rPr>
      <w:rFonts w:ascii="Courier New" w:hAnsi="Courier New" w:eastAsia="Courier New" w:cs="Courier New"/>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lang w:val="en-ZW"/>
    </w:rPr>
  </w:style>
  <w:style w:type="paragraph" w:styleId="KopfundFuzeile" w:customStyle="1">
    <w:name w:val="Kopf- und Fußzeile"/>
    <w:basedOn w:val="Normal"/>
    <w:qFormat/>
    <w:pPr>
      <w:suppressLineNumbers/>
      <w:tabs>
        <w:tab w:val="clear" w:pos="720"/>
        <w:tab w:val="center" w:pos="4819" w:leader="none"/>
        <w:tab w:val="right" w:pos="9638" w:leader="none"/>
      </w:tabs>
    </w:pPr>
    <w:rPr/>
  </w:style>
  <w:style w:type="paragraph" w:styleId="Fuzeile">
    <w:name w:val="Footer"/>
    <w:basedOn w:val="Normal"/>
    <w:pPr>
      <w:suppressLineNumbers/>
      <w:tabs>
        <w:tab w:val="clear" w:pos="720"/>
        <w:tab w:val="center" w:pos="4779" w:leader="none"/>
        <w:tab w:val="right" w:pos="9558" w:leader="none"/>
      </w:tabs>
    </w:pPr>
    <w:rPr/>
  </w:style>
  <w:style w:type="paragraph" w:styleId="Kopfzeile">
    <w:name w:val="Header"/>
    <w:basedOn w:val="Normal"/>
    <w:pPr>
      <w:suppressLineNumbers/>
      <w:tabs>
        <w:tab w:val="clear" w:pos="720"/>
        <w:tab w:val="center" w:pos="4819" w:leader="none"/>
        <w:tab w:val="right" w:pos="9638" w:leader="none"/>
      </w:tabs>
    </w:pPr>
    <w:rPr/>
  </w:style>
  <w:style w:type="paragraph" w:styleId="Funote">
    <w:name w:val="Footnote Text"/>
    <w:basedOn w:val="Normal"/>
    <w:pPr>
      <w:suppressLineNumbers/>
      <w:ind w:left="283" w:hanging="283"/>
    </w:pPr>
    <w:rPr/>
  </w:style>
  <w:style w:type="paragraph" w:styleId="Tabelleninhalt1" w:customStyle="1">
    <w:name w:val="Tabelleninhalt"/>
    <w:basedOn w:val="Normal"/>
    <w:qFormat/>
    <w:pPr>
      <w:suppressLineNumbers/>
    </w:pPr>
    <w:rPr/>
  </w:style>
  <w:style w:type="paragraph" w:styleId="Tabellenberschrift1" w:customStyle="1">
    <w:name w:val="Tabellenüberschrift"/>
    <w:basedOn w:val="Tabelleninhalt1"/>
    <w:qFormat/>
    <w:pPr>
      <w:jc w:val="center"/>
    </w:pPr>
    <w:rPr>
      <w:b/>
      <w:bC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hyperlink" Target="mailto:a.koning@iaea.org" TargetMode="External"/><Relationship Id="rId4" Type="http://schemas.openxmlformats.org/officeDocument/2006/relationships/hyperlink" Target="mailto:abhihere@gmail.com" TargetMode="External"/><Relationship Id="rId5" Type="http://schemas.openxmlformats.org/officeDocument/2006/relationships/hyperlink" Target="mailto:aloks279@gmail.com" TargetMode="External"/><Relationship Id="rId6" Type="http://schemas.openxmlformats.org/officeDocument/2006/relationships/hyperlink" Target="mailto:dbrown@bnl.gov" TargetMode="External"/><Relationship Id="rId7" Type="http://schemas.openxmlformats.org/officeDocument/2006/relationships/hyperlink" Target="mailto:draj@barc.gov.in" TargetMode="External"/><Relationship Id="rId8" Type="http://schemas.openxmlformats.org/officeDocument/2006/relationships/hyperlink" Target="mailto:fukahori.tokio@jaea.go.jp" TargetMode="External"/><Relationship Id="rId9" Type="http://schemas.openxmlformats.org/officeDocument/2006/relationships/hyperlink" Target="mailto:ganesan555@gmail.com" TargetMode="External"/><Relationship Id="rId10" Type="http://schemas.openxmlformats.org/officeDocument/2006/relationships/hyperlink" Target="mailto:gezg@ciae.ac.cn" TargetMode="External"/><Relationship Id="rId11" Type="http://schemas.openxmlformats.org/officeDocument/2006/relationships/hyperlink" Target="mailto:iwamoto.osamu@jaea.go.jp" TargetMode="External"/><Relationship Id="rId12" Type="http://schemas.openxmlformats.org/officeDocument/2006/relationships/hyperlink" Target="mailto:j.c.sublet@iaea.org" TargetMode="External"/><Relationship Id="rId13" Type="http://schemas.openxmlformats.org/officeDocument/2006/relationships/hyperlink" Target="mailto:jmwang@ciae.ac.cn" TargetMode="External"/><Relationship Id="rId14" Type="http://schemas.openxmlformats.org/officeDocument/2006/relationships/hyperlink" Target="mailto:kaltchenko@kinr.kiev.ua" TargetMode="External"/><Relationship Id="rId15" Type="http://schemas.openxmlformats.org/officeDocument/2006/relationships/hyperlink" Target="mailto:kenya.suyama@oecd-nea.org" TargetMode="External"/><Relationship Id="rId16" Type="http://schemas.openxmlformats.org/officeDocument/2006/relationships/hyperlink" Target="mailto:kimura.atsushi04@jaea.go.jp" TargetMode="External"/><Relationship Id="rId17" Type="http://schemas.openxmlformats.org/officeDocument/2006/relationships/hyperlink" Target="mailto:l.vrapcenjak@iaea.org" TargetMode="External"/><Relationship Id="rId18" Type="http://schemas.openxmlformats.org/officeDocument/2006/relationships/hyperlink" Target="mailto:manuel.bossant@oecd-nea.org" TargetMode="External"/><Relationship Id="rId19" Type="http://schemas.openxmlformats.org/officeDocument/2006/relationships/hyperlink" Target="mailto:masaaki@nucl.sci.hokudai.ac.jp" TargetMode="External"/><Relationship Id="rId20" Type="http://schemas.openxmlformats.org/officeDocument/2006/relationships/hyperlink" Target="mailto:michael.fleming@oecd-nea.org" TargetMode="External"/><Relationship Id="rId21" Type="http://schemas.openxmlformats.org/officeDocument/2006/relationships/hyperlink" Target="mailto:mmarina@ippe.ru" TargetMode="External"/><Relationship Id="rId22" Type="http://schemas.openxmlformats.org/officeDocument/2006/relationships/hyperlink" Target="mailto:nicolas.soppera@oecd-nea.org" TargetMode="External"/><Relationship Id="rId23" Type="http://schemas.openxmlformats.org/officeDocument/2006/relationships/hyperlink" Target="mailto:n.otsuka@iaea.org" TargetMode="External"/><Relationship Id="rId24" Type="http://schemas.openxmlformats.org/officeDocument/2006/relationships/hyperlink" Target="mailto:nrdc@jcprg.org" TargetMode="External"/><Relationship Id="rId25" Type="http://schemas.openxmlformats.org/officeDocument/2006/relationships/hyperlink" Target="mailto:odsurenn@gmail.com" TargetMode="External"/><Relationship Id="rId26" Type="http://schemas.openxmlformats.org/officeDocument/2006/relationships/hyperlink" Target="mailto:ogritzay@kinr.kiev.ua" TargetMode="External"/><Relationship Id="rId27" Type="http://schemas.openxmlformats.org/officeDocument/2006/relationships/hyperlink" Target="mailto:ogrudzevich@ippe.ru" TargetMode="External"/><Relationship Id="rId28" Type="http://schemas.openxmlformats.org/officeDocument/2006/relationships/hyperlink" Target="mailto:otto.schwerer@aon.at" TargetMode="External"/><Relationship Id="rId29" Type="http://schemas.openxmlformats.org/officeDocument/2006/relationships/hyperlink" Target="mailto:pikulina@expd.vniief.ru" TargetMode="External"/><Relationship Id="rId30" Type="http://schemas.openxmlformats.org/officeDocument/2006/relationships/hyperlink" Target="mailto:pritychenko@bnl.gov" TargetMode="External"/><Relationship Id="rId31" Type="http://schemas.openxmlformats.org/officeDocument/2006/relationships/hyperlink" Target="mailto:s.okumura@iaea.org" TargetMode="External"/><Relationship Id="rId32" Type="http://schemas.openxmlformats.org/officeDocument/2006/relationships/hyperlink" Target="mailto:samaev@obninsk.ru" TargetMode="External"/><Relationship Id="rId33" Type="http://schemas.openxmlformats.org/officeDocument/2006/relationships/hyperlink" Target="mailto:sbabykina@yandex.ru" TargetMode="External"/><Relationship Id="rId34" Type="http://schemas.openxmlformats.org/officeDocument/2006/relationships/hyperlink" Target="mailto:scyang@kaeri.re.kr" TargetMode="External"/><Relationship Id="rId35" Type="http://schemas.openxmlformats.org/officeDocument/2006/relationships/hyperlink" Target="mailto:selyankina@expd.vniief.ru" TargetMode="External"/><Relationship Id="rId36" Type="http://schemas.openxmlformats.org/officeDocument/2006/relationships/hyperlink" Target="mailto:sonzogni@bnl.gov" TargetMode="External"/><Relationship Id="rId37" Type="http://schemas.openxmlformats.org/officeDocument/2006/relationships/hyperlink" Target="mailto:stakacs@atomki.mta.hu" TargetMode="External"/><Relationship Id="rId38" Type="http://schemas.openxmlformats.org/officeDocument/2006/relationships/hyperlink" Target="mailto:stanislav.hlavac@savba.sk" TargetMode="External"/><Relationship Id="rId39" Type="http://schemas.openxmlformats.org/officeDocument/2006/relationships/hyperlink" Target="mailto:sv.dunaeva@gmail.com" TargetMode="External"/><Relationship Id="rId40" Type="http://schemas.openxmlformats.org/officeDocument/2006/relationships/hyperlink" Target="mailto:tada@nucl.sci.hokudai.ac.jp" TargetMode="External"/><Relationship Id="rId41" Type="http://schemas.openxmlformats.org/officeDocument/2006/relationships/hyperlink" Target="mailto:taova@expd.vniief.ru" TargetMode="External"/><Relationship Id="rId42" Type="http://schemas.openxmlformats.org/officeDocument/2006/relationships/hyperlink" Target="mailto:tarkanyi@atomki.hu" TargetMode="External"/><Relationship Id="rId43" Type="http://schemas.openxmlformats.org/officeDocument/2006/relationships/hyperlink" Target="mailto:vvvarlamov@gmail.com" TargetMode="External"/><Relationship Id="rId44" Type="http://schemas.openxmlformats.org/officeDocument/2006/relationships/hyperlink" Target="mailto:v.zerkin@iaea.org" TargetMode="External"/><Relationship Id="rId45" Type="http://schemas.openxmlformats.org/officeDocument/2006/relationships/hyperlink" Target="mailto:vidyathakur@yahoo.co.in" TargetMode="External"/><Relationship Id="rId46" Type="http://schemas.openxmlformats.org/officeDocument/2006/relationships/hyperlink" Target="mailto:vsemkova@inrne.bas.bg" TargetMode="External"/><Relationship Id="rId47" Type="http://schemas.openxmlformats.org/officeDocument/2006/relationships/hyperlink" Target="mailto:yolee@kaeri.re.kr" TargetMode="External"/><Relationship Id="rId48" Type="http://schemas.openxmlformats.org/officeDocument/2006/relationships/hyperlink" Target="mailto:zholdybayev@inp.kz" TargetMode="External"/><Relationship Id="rId49" Type="http://schemas.openxmlformats.org/officeDocument/2006/relationships/fontTable" Target="fontTable.xml"/><Relationship Id="rId50" Type="http://schemas.openxmlformats.org/officeDocument/2006/relationships/settings" Target="settings.xml"/><Relationship Id="rId5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LibreOffice/6.3.4.2$Windows_X86_64 LibreOffice_project/60da17e045e08f1793c57c00ba83cdfce946d0aa</Application>
  <Pages>3</Pages>
  <Words>525</Words>
  <Characters>3536</Characters>
  <CharactersWithSpaces>4005</CharactersWithSpaces>
  <Paragraphs>94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1995-11-21T18:41:00Z</dcterms:created>
  <dc:creator>OTSUKA, Naohiko</dc:creator>
  <dc:description/>
  <dc:language>de-DE</dc:language>
  <cp:lastModifiedBy/>
  <cp:lastPrinted>2020-09-18T12:59:00Z</cp:lastPrinted>
  <dcterms:modified xsi:type="dcterms:W3CDTF">2020-09-28T11:26:26Z</dcterms:modified>
  <cp:revision>50</cp:revision>
  <dc:subject/>
  <dc:title>Nuclear Data Section</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