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  <w:lang w:val="de-AT"/>
        </w:rPr>
        <w:t>Memo CP-C/049</w:t>
      </w:r>
      <w:r>
        <w:rPr>
          <w:b/>
          <w:sz w:val="24"/>
          <w:szCs w:val="24"/>
          <w:u w:val="single"/>
          <w:lang w:val="de-AT"/>
        </w:rPr>
        <w:t>9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</w:r>
      <w:r>
        <w:rPr>
          <w:sz w:val="24"/>
          <w:szCs w:val="24"/>
          <w:lang w:val="de-AT"/>
        </w:rPr>
        <w:t>18 October</w:t>
      </w:r>
      <w:r>
        <w:rPr>
          <w:sz w:val="24"/>
          <w:szCs w:val="24"/>
          <w:lang w:val="de-AT"/>
        </w:rPr>
        <w:t xml:space="preserve"> 2022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 xml:space="preserve">Addition to dictionary </w:t>
      </w:r>
      <w:r>
        <w:rPr>
          <w:b/>
          <w:bCs/>
          <w:sz w:val="24"/>
          <w:szCs w:val="24"/>
          <w:lang w:val="en-GB"/>
        </w:rPr>
        <w:t xml:space="preserve">236 (Quantities): </w:t>
      </w:r>
      <w:r>
        <w:rPr>
          <w:b/>
          <w:bCs/>
          <w:sz w:val="24"/>
          <w:szCs w:val="24"/>
          <w:lang w:val="en-GB"/>
        </w:rPr>
        <w:t>BA/COH,SIG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bCs/>
          <w:sz w:val="24"/>
          <w:szCs w:val="24"/>
          <w:lang w:val="en-GB" w:eastAsia="ja-JP"/>
        </w:rPr>
        <w:t>W</w:t>
      </w:r>
      <w:r>
        <w:rPr>
          <w:b w:val="false"/>
          <w:bCs w:val="false"/>
          <w:sz w:val="24"/>
          <w:szCs w:val="24"/>
          <w:lang w:val="en-GB" w:eastAsia="ja-JP"/>
        </w:rPr>
        <w:t xml:space="preserve">e propose the quantity </w:t>
      </w:r>
      <w:r>
        <w:rPr>
          <w:b w:val="false"/>
          <w:bCs w:val="false"/>
          <w:sz w:val="24"/>
          <w:szCs w:val="24"/>
          <w:lang w:val="en-GB" w:eastAsia="ja-JP"/>
        </w:rPr>
        <w:t>BA/COH,SIG</w:t>
      </w:r>
      <w:r>
        <w:rPr>
          <w:b w:val="false"/>
          <w:bCs w:val="false"/>
          <w:sz w:val="24"/>
          <w:szCs w:val="24"/>
          <w:lang w:val="en-GB" w:eastAsia="ja-JP"/>
        </w:rPr>
        <w:t xml:space="preserve"> used in Trans 149</w:t>
      </w:r>
      <w:r>
        <w:rPr>
          <w:b w:val="false"/>
          <w:bCs w:val="false"/>
          <w:sz w:val="24"/>
          <w:szCs w:val="24"/>
          <w:lang w:val="en-GB" w:eastAsia="ja-JP"/>
        </w:rPr>
        <w:t>9</w:t>
      </w:r>
      <w:r>
        <w:rPr>
          <w:b w:val="false"/>
          <w:bCs w:val="false"/>
          <w:sz w:val="24"/>
          <w:szCs w:val="24"/>
          <w:lang w:val="en-GB" w:eastAsia="ja-JP"/>
        </w:rPr>
        <w:t>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/>
          <w:bCs w:val="false"/>
          <w:sz w:val="24"/>
          <w:szCs w:val="24"/>
          <w:lang w:val="en-GB" w:eastAsia="ja-JP"/>
        </w:rPr>
        <w:t>Reference: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/>
          <w:b/>
          <w:b/>
          <w:bCs w:val="false"/>
          <w:sz w:val="22"/>
          <w:szCs w:val="24"/>
          <w:lang w:val="de-DE" w:eastAsia="ja-JP"/>
        </w:rPr>
      </w:pPr>
      <w:r>
        <w:rPr>
          <w:rFonts w:ascii="Courier New" w:hAnsi="Courier New"/>
          <w:b/>
          <w:bCs w:val="false"/>
          <w:sz w:val="24"/>
          <w:szCs w:val="24"/>
          <w:lang w:val="de-DE" w:eastAsia="ja-JP"/>
        </w:rPr>
        <w:t xml:space="preserve">C.Shull </w:t>
      </w:r>
      <w:r>
        <w:rPr>
          <w:rFonts w:ascii="Courier New" w:hAnsi="Courier New"/>
          <w:b/>
          <w:bCs w:val="false"/>
          <w:sz w:val="24"/>
          <w:szCs w:val="24"/>
          <w:lang w:val="de-DE" w:eastAsia="ja-JP"/>
        </w:rPr>
        <w:t>et al., PR,81,527,195</w:t>
      </w:r>
      <w:r>
        <w:rPr>
          <w:rFonts w:ascii="Courier New" w:hAnsi="Courier New"/>
          <w:b/>
          <w:bCs w:val="false"/>
          <w:sz w:val="22"/>
          <w:szCs w:val="24"/>
          <w:lang w:val="de-DE" w:eastAsia="ja-JP"/>
        </w:rPr>
        <w:t>1</w:t>
      </w:r>
    </w:p>
    <w:p>
      <w:pPr>
        <w:pStyle w:val="Normal"/>
        <w:jc w:val="both"/>
        <w:rPr>
          <w:rFonts w:eastAsia="MS Mincho"/>
          <w:b w:val="false"/>
          <w:b w:val="false"/>
          <w:bCs w:val="false"/>
          <w:sz w:val="24"/>
          <w:u w:val="single"/>
          <w:lang w:val="en-GB" w:eastAsia="ja-JP"/>
        </w:rPr>
      </w:pPr>
      <w:r>
        <w:rPr>
          <w:rFonts w:eastAsia="MS Mincho"/>
          <w:b w:val="false"/>
          <w:bCs w:val="false"/>
          <w:sz w:val="24"/>
          <w:u w:val="singl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/>
      </w:pPr>
      <w:r>
        <w:rPr>
          <w:b/>
          <w:sz w:val="24"/>
          <w:szCs w:val="24"/>
          <w:u w:val="single"/>
          <w:lang w:val="en-GB"/>
        </w:rPr>
        <w:t>Addition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152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4"/>
                <w:szCs w:val="24"/>
                <w:lang w:val="en-GB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4"/>
                <w:szCs w:val="24"/>
                <w:lang w:val="en-GB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  <w:lang w:val="en-GB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>
              <w:rPr>
                <w:b/>
                <w:sz w:val="24"/>
                <w:szCs w:val="24"/>
                <w:lang w:val="en-GB"/>
              </w:rPr>
              <w:t>ntry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218" w:hRule="atLeast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en-GB"/>
              </w:rPr>
              <w:t>BA/COH,SIG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Courier New" w:ascii="Courier New" w:hAnsi="Courier New"/>
                <w:color w:val="000000"/>
                <w:sz w:val="24"/>
                <w:szCs w:val="24"/>
                <w:lang w:val="en-GB"/>
              </w:rPr>
              <w:t>TSL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>B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Courier New" w:ascii="Courier New" w:hAnsi="Courier New"/>
                <w:color w:val="000000"/>
                <w:sz w:val="24"/>
                <w:szCs w:val="24"/>
                <w:lang w:val="de-DE"/>
              </w:rPr>
              <w:t xml:space="preserve">Bound-atom </w:t>
            </w:r>
            <w:r>
              <w:rPr>
                <w:rFonts w:cs="Courier New" w:ascii="Courier New" w:hAnsi="Courier New"/>
                <w:color w:val="000000"/>
                <w:sz w:val="24"/>
                <w:szCs w:val="24"/>
                <w:lang w:val="de-DE"/>
              </w:rPr>
              <w:t xml:space="preserve">coherent </w:t>
            </w:r>
            <w:r>
              <w:rPr>
                <w:rFonts w:cs="Courier New" w:ascii="Courier New" w:hAnsi="Courier New"/>
                <w:color w:val="000000"/>
                <w:sz w:val="24"/>
                <w:szCs w:val="24"/>
                <w:lang w:val="de-DE"/>
              </w:rPr>
              <w:t xml:space="preserve">cross section            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>1043 (many subentries)</w:t>
            </w:r>
          </w:p>
        </w:tc>
      </w:tr>
    </w:tbl>
    <w:p>
      <w:pPr>
        <w:pStyle w:val="Normal"/>
        <w:spacing w:before="0" w:after="120"/>
        <w:jc w:val="both"/>
        <w:rPr>
          <w:rFonts w:eastAsia="MS Mincho"/>
          <w:b w:val="false"/>
          <w:b w:val="false"/>
          <w:bCs w:val="false"/>
          <w:sz w:val="24"/>
          <w:u w:val="single"/>
          <w:lang w:val="en-GB" w:eastAsia="ja-JP"/>
        </w:rPr>
      </w:pPr>
      <w:r>
        <w:rPr>
          <w:rFonts w:eastAsia="MS Mincho"/>
          <w:b w:val="false"/>
          <w:bCs w:val="false"/>
          <w:sz w:val="24"/>
          <w:u w:val="single"/>
          <w:lang w:val="en-GB" w:eastAsia="ja-JP"/>
        </w:rPr>
      </w:r>
    </w:p>
    <w:p>
      <w:pPr>
        <w:pStyle w:val="Normal"/>
        <w:jc w:val="both"/>
        <w:rPr>
          <w:rFonts w:eastAsia="MS Mincho"/>
          <w:b w:val="false"/>
          <w:b w:val="false"/>
          <w:bCs w:val="false"/>
          <w:sz w:val="24"/>
          <w:u w:val="single"/>
          <w:lang w:val="en-GB" w:eastAsia="ja-JP"/>
        </w:rPr>
      </w:pPr>
      <w:r>
        <w:rPr>
          <w:rFonts w:eastAsia="MS Mincho"/>
          <w:b w:val="false"/>
          <w:bCs w:val="false"/>
          <w:sz w:val="24"/>
          <w:u w:val="single"/>
          <w:lang w:val="en-GB" w:eastAsia="ja-JP"/>
        </w:rPr>
      </w:r>
    </w:p>
    <w:p>
      <w:pPr>
        <w:pStyle w:val="Normal"/>
        <w:jc w:val="both"/>
        <w:rPr>
          <w:rFonts w:eastAsia="MS Mincho"/>
          <w:b w:val="false"/>
          <w:b w:val="false"/>
          <w:bCs w:val="false"/>
          <w:sz w:val="24"/>
          <w:u w:val="single"/>
          <w:lang w:val="en-GB" w:eastAsia="ja-JP"/>
        </w:rPr>
      </w:pPr>
      <w:r>
        <w:rPr>
          <w:rFonts w:eastAsia="MS Mincho"/>
          <w:b w:val="false"/>
          <w:bCs w:val="false"/>
          <w:sz w:val="24"/>
          <w:u w:val="singl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MS Mincho"/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pStyle w:val="Normal"/>
        <w:bidi w:val="0"/>
        <w:ind w:left="0" w:right="0" w:hanging="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74" w:right="1174" w:header="0" w:top="1440" w:footer="0" w:bottom="195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74" w:right="1174" w:header="0" w:top="1440" w:footer="0" w:bottom="195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MS Mincho" w:cs="Times New Roman"/>
      <w:color w:val="auto"/>
      <w:kern w:val="0"/>
      <w:sz w:val="20"/>
      <w:szCs w:val="20"/>
      <w:lang w:val="en-GB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LibreOffice/6.3.4.2$Windows_X86_64 LibreOffice_project/60da17e045e08f1793c57c00ba83cdfce946d0aa</Application>
  <Pages>2</Pages>
  <Words>114</Words>
  <Characters>1378</Characters>
  <CharactersWithSpaces>1438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2022-10-18T14:06:32Z</dcterms:modified>
  <cp:revision>32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