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EA79F" w14:textId="77777777"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Nuclear Data Section</w:t>
      </w:r>
    </w:p>
    <w:p w14:paraId="5861524E" w14:textId="77777777"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International Atomic Energy Agency</w:t>
      </w:r>
    </w:p>
    <w:p w14:paraId="289F687B" w14:textId="77777777" w:rsidR="00781568" w:rsidRDefault="00724E18" w:rsidP="00F61C5C">
      <w:pPr>
        <w:pStyle w:val="Standard"/>
        <w:spacing w:after="0"/>
        <w:jc w:val="center"/>
      </w:pPr>
      <w:proofErr w:type="spellStart"/>
      <w:r>
        <w:rPr>
          <w:b/>
          <w:lang w:val="en-GB"/>
        </w:rPr>
        <w:t>P.O.Box</w:t>
      </w:r>
      <w:proofErr w:type="spellEnd"/>
      <w:r>
        <w:rPr>
          <w:b/>
          <w:lang w:val="en-GB"/>
        </w:rPr>
        <w:t xml:space="preserve"> 100, A-1400 Vienna, Austria</w:t>
      </w:r>
    </w:p>
    <w:p w14:paraId="067810FA" w14:textId="77777777" w:rsidR="00781568" w:rsidRPr="00694096" w:rsidRDefault="00781568" w:rsidP="00F61C5C">
      <w:pPr>
        <w:pStyle w:val="Standard"/>
        <w:spacing w:after="0"/>
        <w:jc w:val="center"/>
        <w:rPr>
          <w:rFonts w:eastAsiaTheme="minorEastAsia"/>
          <w:lang w:eastAsia="ja-JP"/>
        </w:rPr>
      </w:pPr>
    </w:p>
    <w:p w14:paraId="472FF593" w14:textId="7C1A24F9" w:rsidR="00781568" w:rsidRPr="00AD319A" w:rsidRDefault="00724E18" w:rsidP="00F61C5C">
      <w:pPr>
        <w:pStyle w:val="Standard"/>
        <w:spacing w:after="0"/>
        <w:jc w:val="center"/>
        <w:rPr>
          <w:rFonts w:eastAsiaTheme="minorEastAsia"/>
          <w:lang w:val="en-GB"/>
        </w:rPr>
      </w:pPr>
      <w:r w:rsidRPr="00371D2E">
        <w:rPr>
          <w:b/>
          <w:u w:val="single"/>
          <w:lang w:val="en-GB"/>
        </w:rPr>
        <w:t>Memo CP-D/</w:t>
      </w:r>
      <w:r w:rsidR="00AD319A">
        <w:rPr>
          <w:b/>
          <w:u w:val="single"/>
          <w:lang w:val="en-GB" w:eastAsia="ja-JP"/>
        </w:rPr>
        <w:t>9</w:t>
      </w:r>
      <w:r w:rsidR="00E62D0F">
        <w:rPr>
          <w:rFonts w:eastAsiaTheme="minorEastAsia" w:hint="eastAsia"/>
          <w:b/>
          <w:u w:val="single"/>
          <w:lang w:val="en-GB" w:eastAsia="ja-JP"/>
        </w:rPr>
        <w:t>3</w:t>
      </w:r>
      <w:r w:rsidR="00682F12">
        <w:rPr>
          <w:rFonts w:eastAsiaTheme="minorEastAsia"/>
          <w:b/>
          <w:u w:val="single"/>
          <w:lang w:val="en-GB" w:eastAsia="ja-JP"/>
        </w:rPr>
        <w:t>1</w:t>
      </w:r>
    </w:p>
    <w:p w14:paraId="15ECEF6E" w14:textId="77777777" w:rsidR="00781568" w:rsidRPr="00371D2E" w:rsidRDefault="00781568" w:rsidP="00F61C5C">
      <w:pPr>
        <w:pStyle w:val="Standard"/>
        <w:spacing w:after="0"/>
        <w:rPr>
          <w:lang w:val="en-GB"/>
        </w:rPr>
      </w:pPr>
    </w:p>
    <w:p w14:paraId="3DAA1F6F" w14:textId="44911EEF" w:rsidR="00781568" w:rsidRDefault="00724E18" w:rsidP="008738B1">
      <w:pPr>
        <w:pStyle w:val="Standard"/>
        <w:tabs>
          <w:tab w:val="clear" w:pos="720"/>
        </w:tabs>
        <w:spacing w:after="0"/>
        <w:jc w:val="both"/>
      </w:pPr>
      <w:r>
        <w:rPr>
          <w:b/>
          <w:lang w:val="en-GB"/>
        </w:rPr>
        <w:t>Date: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 w:rsidR="00BE27AB">
        <w:rPr>
          <w:rFonts w:eastAsiaTheme="minorEastAsia"/>
          <w:lang w:val="en-GB" w:eastAsia="ja-JP"/>
        </w:rPr>
        <w:t>9</w:t>
      </w:r>
      <w:r>
        <w:rPr>
          <w:lang w:val="en-GB"/>
        </w:rPr>
        <w:t xml:space="preserve"> </w:t>
      </w:r>
      <w:r w:rsidR="00694096">
        <w:rPr>
          <w:rFonts w:eastAsiaTheme="minorEastAsia" w:hint="eastAsia"/>
          <w:lang w:val="en-GB" w:eastAsia="ja-JP"/>
        </w:rPr>
        <w:t>May</w:t>
      </w:r>
      <w:r>
        <w:rPr>
          <w:lang w:val="en-GB"/>
        </w:rPr>
        <w:t xml:space="preserve"> 2017</w:t>
      </w:r>
    </w:p>
    <w:p w14:paraId="4284C24F" w14:textId="77777777" w:rsidR="00781568" w:rsidRDefault="00724E18" w:rsidP="008738B1">
      <w:pPr>
        <w:pStyle w:val="Standard"/>
        <w:tabs>
          <w:tab w:val="clear" w:pos="720"/>
        </w:tabs>
        <w:spacing w:after="0"/>
        <w:jc w:val="both"/>
      </w:pPr>
      <w:r>
        <w:rPr>
          <w:b/>
          <w:lang w:val="en-GB"/>
        </w:rPr>
        <w:t>To: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>
        <w:rPr>
          <w:lang w:val="en-GB"/>
        </w:rPr>
        <w:t>Distribution</w:t>
      </w:r>
    </w:p>
    <w:p w14:paraId="7A1F3A7F" w14:textId="77777777" w:rsidR="00781568" w:rsidRPr="00694096" w:rsidRDefault="00724E18" w:rsidP="009E3D75">
      <w:pPr>
        <w:pStyle w:val="Standard"/>
        <w:tabs>
          <w:tab w:val="clear" w:pos="720"/>
        </w:tabs>
        <w:spacing w:after="0"/>
        <w:rPr>
          <w:rFonts w:eastAsiaTheme="minorEastAsia"/>
          <w:lang w:val="en-GB" w:eastAsia="ja-JP"/>
        </w:rPr>
      </w:pPr>
      <w:r>
        <w:rPr>
          <w:b/>
          <w:lang w:val="en-GB"/>
        </w:rPr>
        <w:t>From: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 w:rsidR="00986B31" w:rsidRPr="002A392D">
        <w:rPr>
          <w:lang w:val="en-GB"/>
        </w:rPr>
        <w:t xml:space="preserve">N. </w:t>
      </w:r>
      <w:r w:rsidR="004115E7" w:rsidRPr="002A392D">
        <w:rPr>
          <w:lang w:val="en-GB" w:eastAsia="ja-JP"/>
        </w:rPr>
        <w:t>Otsu</w:t>
      </w:r>
      <w:r w:rsidR="00AD319A">
        <w:rPr>
          <w:lang w:val="en-GB" w:eastAsia="ja-JP"/>
        </w:rPr>
        <w:t>ka</w:t>
      </w:r>
    </w:p>
    <w:p w14:paraId="1B140643" w14:textId="77777777" w:rsidR="009E3D75" w:rsidRDefault="009E3D75" w:rsidP="009E3D75">
      <w:pPr>
        <w:pStyle w:val="Standard"/>
        <w:tabs>
          <w:tab w:val="clear" w:pos="720"/>
        </w:tabs>
        <w:spacing w:after="0"/>
      </w:pPr>
    </w:p>
    <w:p w14:paraId="6A40F002" w14:textId="77777777" w:rsidR="00781568" w:rsidRDefault="00724E18" w:rsidP="00F61C5C">
      <w:pPr>
        <w:pStyle w:val="Standard"/>
        <w:tabs>
          <w:tab w:val="left" w:pos="993"/>
        </w:tabs>
        <w:spacing w:after="0"/>
        <w:rPr>
          <w:rFonts w:eastAsiaTheme="minorEastAsia"/>
          <w:b/>
          <w:lang w:val="en-GB" w:eastAsia="ja-JP"/>
        </w:rPr>
      </w:pPr>
      <w:r w:rsidRPr="00D83DC9">
        <w:rPr>
          <w:b/>
          <w:lang w:val="en-GB" w:eastAsia="ja-JP"/>
        </w:rPr>
        <w:t>S</w:t>
      </w:r>
      <w:r w:rsidRPr="00D83DC9">
        <w:rPr>
          <w:b/>
          <w:lang w:val="en-GB"/>
        </w:rPr>
        <w:t>ubject:</w:t>
      </w:r>
      <w:r w:rsidRPr="00D83DC9">
        <w:rPr>
          <w:lang w:val="en-GB"/>
        </w:rPr>
        <w:tab/>
      </w:r>
      <w:r w:rsidRPr="00D83DC9">
        <w:rPr>
          <w:lang w:val="en-GB"/>
        </w:rPr>
        <w:tab/>
      </w:r>
      <w:bookmarkStart w:id="0" w:name="_GoBack"/>
      <w:r w:rsidR="00694096">
        <w:rPr>
          <w:rFonts w:eastAsiaTheme="minorEastAsia" w:hint="eastAsia"/>
          <w:b/>
          <w:lang w:val="en-GB" w:eastAsia="ja-JP"/>
        </w:rPr>
        <w:t xml:space="preserve">Dictionary 23 </w:t>
      </w:r>
      <w:r w:rsidR="00707049">
        <w:rPr>
          <w:rFonts w:eastAsiaTheme="minorEastAsia" w:hint="eastAsia"/>
          <w:b/>
          <w:lang w:val="en-GB" w:eastAsia="ja-JP"/>
        </w:rPr>
        <w:t xml:space="preserve">(Analyses) </w:t>
      </w:r>
      <w:r w:rsidR="00694096">
        <w:rPr>
          <w:rFonts w:eastAsiaTheme="minorEastAsia"/>
          <w:b/>
          <w:lang w:val="en-GB" w:eastAsia="ja-JP"/>
        </w:rPr>
        <w:t>–</w:t>
      </w:r>
      <w:r w:rsidR="00707049">
        <w:rPr>
          <w:rFonts w:eastAsiaTheme="minorEastAsia" w:hint="eastAsia"/>
          <w:b/>
          <w:lang w:val="en-GB" w:eastAsia="ja-JP"/>
        </w:rPr>
        <w:t xml:space="preserve"> RFN</w:t>
      </w:r>
      <w:bookmarkEnd w:id="0"/>
    </w:p>
    <w:p w14:paraId="58447B5B" w14:textId="77777777" w:rsidR="00AD319A" w:rsidRPr="00694096" w:rsidRDefault="00AD319A" w:rsidP="00F61C5C">
      <w:pPr>
        <w:pStyle w:val="Standard"/>
        <w:tabs>
          <w:tab w:val="left" w:pos="993"/>
        </w:tabs>
        <w:spacing w:after="0"/>
        <w:rPr>
          <w:rFonts w:eastAsiaTheme="minorEastAsia"/>
          <w:lang w:val="en-GB" w:eastAsia="ja-JP"/>
        </w:rPr>
      </w:pPr>
    </w:p>
    <w:p w14:paraId="563D2AD9" w14:textId="47C6554D" w:rsidR="00694096" w:rsidRDefault="00D701AF" w:rsidP="00707049">
      <w:pPr>
        <w:suppressAutoHyphens w:val="0"/>
        <w:jc w:val="both"/>
        <w:rPr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 xml:space="preserve">The R-function </w:t>
      </w:r>
      <w:r w:rsidR="00682F12">
        <w:rPr>
          <w:sz w:val="24"/>
          <w:szCs w:val="24"/>
          <w:lang w:val="en-GB" w:eastAsia="ja-JP"/>
        </w:rPr>
        <w:t>approximation</w:t>
      </w:r>
      <w:r>
        <w:rPr>
          <w:rFonts w:hint="eastAsia"/>
          <w:sz w:val="24"/>
          <w:szCs w:val="24"/>
          <w:lang w:val="en-GB" w:eastAsia="ja-JP"/>
        </w:rPr>
        <w:t xml:space="preserve"> is a special case of the Reich-Moore </w:t>
      </w:r>
      <w:r w:rsidR="00682F12">
        <w:rPr>
          <w:sz w:val="24"/>
          <w:szCs w:val="24"/>
          <w:lang w:val="en-GB" w:eastAsia="ja-JP"/>
        </w:rPr>
        <w:t>approximation</w:t>
      </w:r>
      <w:r w:rsidR="009A3B1D">
        <w:rPr>
          <w:sz w:val="24"/>
          <w:szCs w:val="24"/>
          <w:lang w:val="en-GB" w:eastAsia="ja-JP"/>
        </w:rPr>
        <w:t xml:space="preserve"> of the R-matrix formalism</w:t>
      </w:r>
      <w:r>
        <w:rPr>
          <w:rFonts w:hint="eastAsia"/>
          <w:sz w:val="24"/>
          <w:szCs w:val="24"/>
          <w:lang w:val="en-GB" w:eastAsia="ja-JP"/>
        </w:rPr>
        <w:t xml:space="preserve">. In the Reich-Moore </w:t>
      </w:r>
      <w:r w:rsidR="00682F12">
        <w:rPr>
          <w:sz w:val="24"/>
          <w:szCs w:val="24"/>
          <w:lang w:val="en-GB" w:eastAsia="ja-JP"/>
        </w:rPr>
        <w:t>approximation</w:t>
      </w:r>
      <w:r>
        <w:rPr>
          <w:rFonts w:hint="eastAsia"/>
          <w:sz w:val="24"/>
          <w:szCs w:val="24"/>
          <w:lang w:val="en-GB" w:eastAsia="ja-JP"/>
        </w:rPr>
        <w:t xml:space="preserve">, </w:t>
      </w:r>
      <w:r w:rsidRPr="00D701AF">
        <w:rPr>
          <w:sz w:val="24"/>
          <w:szCs w:val="24"/>
          <w:lang w:val="en-GB" w:eastAsia="ja-JP"/>
        </w:rPr>
        <w:t>all photon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Pr="00D701AF">
        <w:rPr>
          <w:sz w:val="24"/>
          <w:szCs w:val="24"/>
          <w:lang w:val="en-GB" w:eastAsia="ja-JP"/>
        </w:rPr>
        <w:t>channels are removed by lumping them together into one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Pr="00D701AF">
        <w:rPr>
          <w:sz w:val="24"/>
          <w:szCs w:val="24"/>
          <w:lang w:val="en-GB" w:eastAsia="ja-JP"/>
        </w:rPr>
        <w:t>parameter</w:t>
      </w:r>
      <w:r w:rsidR="009A3B1D">
        <w:rPr>
          <w:sz w:val="24"/>
          <w:szCs w:val="24"/>
          <w:lang w:val="en-GB" w:eastAsia="ja-JP"/>
        </w:rPr>
        <w:t xml:space="preserve">, the </w:t>
      </w:r>
      <w:r w:rsidR="008C28B8">
        <w:rPr>
          <w:sz w:val="24"/>
          <w:szCs w:val="24"/>
          <w:lang w:val="en-GB" w:eastAsia="ja-JP"/>
        </w:rPr>
        <w:t xml:space="preserve">total </w:t>
      </w:r>
      <w:r w:rsidR="009A3B1D">
        <w:rPr>
          <w:sz w:val="24"/>
          <w:szCs w:val="24"/>
          <w:lang w:val="en-GB" w:eastAsia="ja-JP"/>
        </w:rPr>
        <w:t xml:space="preserve">radiation </w:t>
      </w:r>
      <w:proofErr w:type="gramStart"/>
      <w:r w:rsidR="009A3B1D">
        <w:rPr>
          <w:sz w:val="24"/>
          <w:szCs w:val="24"/>
          <w:lang w:val="en-GB" w:eastAsia="ja-JP"/>
        </w:rPr>
        <w:t>width,</w:t>
      </w:r>
      <w:r w:rsidRPr="00D701AF">
        <w:rPr>
          <w:sz w:val="24"/>
          <w:szCs w:val="24"/>
          <w:lang w:val="en-GB" w:eastAsia="ja-JP"/>
        </w:rPr>
        <w:t xml:space="preserve"> that</w:t>
      </w:r>
      <w:proofErr w:type="gramEnd"/>
      <w:r w:rsidRPr="00D701AF">
        <w:rPr>
          <w:sz w:val="24"/>
          <w:szCs w:val="24"/>
          <w:lang w:val="en-GB" w:eastAsia="ja-JP"/>
        </w:rPr>
        <w:t xml:space="preserve"> goes in the imaginary part.</w:t>
      </w:r>
      <w:r>
        <w:rPr>
          <w:rFonts w:hint="eastAsia"/>
          <w:sz w:val="24"/>
          <w:szCs w:val="24"/>
          <w:lang w:val="en-GB" w:eastAsia="ja-JP"/>
        </w:rPr>
        <w:t xml:space="preserve"> If the target nuclide is non-fissile and only the elastic scattering channel remains, the R-matrix becomes a 1</w:t>
      </w:r>
      <w:r>
        <w:rPr>
          <w:sz w:val="24"/>
          <w:szCs w:val="24"/>
          <w:lang w:val="en-GB" w:eastAsia="ja-JP"/>
        </w:rPr>
        <w:t>×</w:t>
      </w:r>
      <w:r>
        <w:rPr>
          <w:rFonts w:hint="eastAsia"/>
          <w:sz w:val="24"/>
          <w:szCs w:val="24"/>
          <w:lang w:val="en-GB" w:eastAsia="ja-JP"/>
        </w:rPr>
        <w:t xml:space="preserve">1 matrix. This is just a function, and </w:t>
      </w:r>
      <w:r w:rsidR="00682F12">
        <w:rPr>
          <w:sz w:val="24"/>
          <w:szCs w:val="24"/>
          <w:lang w:val="en-GB" w:eastAsia="ja-JP"/>
        </w:rPr>
        <w:t xml:space="preserve">therefore </w:t>
      </w:r>
      <w:r>
        <w:rPr>
          <w:rFonts w:hint="eastAsia"/>
          <w:sz w:val="24"/>
          <w:szCs w:val="24"/>
          <w:lang w:val="en-GB" w:eastAsia="ja-JP"/>
        </w:rPr>
        <w:t>it is called R-function.</w:t>
      </w:r>
    </w:p>
    <w:p w14:paraId="03A1AA0B" w14:textId="77777777" w:rsidR="00D701AF" w:rsidRDefault="00D701AF" w:rsidP="00707049">
      <w:pPr>
        <w:suppressAutoHyphens w:val="0"/>
        <w:jc w:val="both"/>
        <w:rPr>
          <w:sz w:val="24"/>
          <w:szCs w:val="24"/>
          <w:lang w:val="en-GB" w:eastAsia="ja-JP"/>
        </w:rPr>
      </w:pPr>
    </w:p>
    <w:p w14:paraId="6C0507FD" w14:textId="77777777" w:rsidR="00707049" w:rsidRPr="00BE27AB" w:rsidRDefault="00D701AF" w:rsidP="00707049">
      <w:pPr>
        <w:suppressAutoHyphens w:val="0"/>
        <w:jc w:val="both"/>
        <w:rPr>
          <w:sz w:val="24"/>
          <w:szCs w:val="24"/>
          <w:u w:val="single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 xml:space="preserve">Some compilers have </w:t>
      </w:r>
      <w:r w:rsidR="00A34F5C">
        <w:rPr>
          <w:rFonts w:hint="eastAsia"/>
          <w:sz w:val="24"/>
          <w:szCs w:val="24"/>
          <w:lang w:val="en-GB" w:eastAsia="ja-JP"/>
        </w:rPr>
        <w:t xml:space="preserve">wrongly </w:t>
      </w:r>
      <w:r w:rsidR="00682F12">
        <w:rPr>
          <w:sz w:val="24"/>
          <w:szCs w:val="24"/>
          <w:lang w:val="en-GB" w:eastAsia="ja-JP"/>
        </w:rPr>
        <w:t>understood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>
        <w:rPr>
          <w:sz w:val="24"/>
          <w:szCs w:val="24"/>
          <w:lang w:val="en-GB" w:eastAsia="ja-JP"/>
        </w:rPr>
        <w:t>“</w:t>
      </w:r>
      <w:r>
        <w:rPr>
          <w:rFonts w:hint="eastAsia"/>
          <w:sz w:val="24"/>
          <w:szCs w:val="24"/>
          <w:lang w:val="en-GB" w:eastAsia="ja-JP"/>
        </w:rPr>
        <w:t>R-function</w:t>
      </w:r>
      <w:r>
        <w:rPr>
          <w:sz w:val="24"/>
          <w:szCs w:val="24"/>
          <w:lang w:val="en-GB" w:eastAsia="ja-JP"/>
        </w:rPr>
        <w:t>”</w:t>
      </w:r>
      <w:r>
        <w:rPr>
          <w:rFonts w:hint="eastAsia"/>
          <w:sz w:val="24"/>
          <w:szCs w:val="24"/>
          <w:lang w:val="en-GB" w:eastAsia="ja-JP"/>
        </w:rPr>
        <w:t xml:space="preserve"> as a synonym of </w:t>
      </w:r>
      <w:r>
        <w:rPr>
          <w:sz w:val="24"/>
          <w:szCs w:val="24"/>
          <w:lang w:val="en-GB" w:eastAsia="ja-JP"/>
        </w:rPr>
        <w:t>“</w:t>
      </w:r>
      <w:r>
        <w:rPr>
          <w:rFonts w:hint="eastAsia"/>
          <w:sz w:val="24"/>
          <w:szCs w:val="24"/>
          <w:lang w:val="en-GB" w:eastAsia="ja-JP"/>
        </w:rPr>
        <w:t>R-matrix</w:t>
      </w:r>
      <w:r>
        <w:rPr>
          <w:sz w:val="24"/>
          <w:szCs w:val="24"/>
          <w:lang w:val="en-GB" w:eastAsia="ja-JP"/>
        </w:rPr>
        <w:t>”</w:t>
      </w:r>
      <w:r>
        <w:rPr>
          <w:rFonts w:hint="eastAsia"/>
          <w:sz w:val="24"/>
          <w:szCs w:val="24"/>
          <w:lang w:val="en-GB" w:eastAsia="ja-JP"/>
        </w:rPr>
        <w:t xml:space="preserve">, and applied </w:t>
      </w:r>
      <w:r w:rsidR="0046049E">
        <w:rPr>
          <w:rFonts w:hint="eastAsia"/>
          <w:sz w:val="24"/>
          <w:szCs w:val="24"/>
          <w:lang w:val="en-GB" w:eastAsia="ja-JP"/>
        </w:rPr>
        <w:t xml:space="preserve">the analysis code </w:t>
      </w:r>
      <w:r w:rsidRPr="0046049E">
        <w:rPr>
          <w:rFonts w:hint="eastAsia"/>
          <w:szCs w:val="24"/>
          <w:lang w:val="en-GB" w:eastAsia="ja-JP"/>
        </w:rPr>
        <w:t>RFN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="00682F12">
        <w:rPr>
          <w:sz w:val="24"/>
          <w:szCs w:val="24"/>
          <w:lang w:val="en-GB" w:eastAsia="ja-JP"/>
        </w:rPr>
        <w:t xml:space="preserve">(R-function formalism) </w:t>
      </w:r>
      <w:r>
        <w:rPr>
          <w:rFonts w:hint="eastAsia"/>
          <w:sz w:val="24"/>
          <w:szCs w:val="24"/>
          <w:lang w:val="en-GB" w:eastAsia="ja-JP"/>
        </w:rPr>
        <w:t xml:space="preserve">when the author </w:t>
      </w:r>
      <w:r>
        <w:rPr>
          <w:sz w:val="24"/>
          <w:szCs w:val="24"/>
          <w:lang w:val="en-GB" w:eastAsia="ja-JP"/>
        </w:rPr>
        <w:t>explains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="0046049E">
        <w:rPr>
          <w:rFonts w:hint="eastAsia"/>
          <w:sz w:val="24"/>
          <w:szCs w:val="24"/>
          <w:lang w:val="en-GB" w:eastAsia="ja-JP"/>
        </w:rPr>
        <w:t xml:space="preserve">that </w:t>
      </w:r>
      <w:r>
        <w:rPr>
          <w:rFonts w:hint="eastAsia"/>
          <w:sz w:val="24"/>
          <w:szCs w:val="24"/>
          <w:lang w:val="en-GB" w:eastAsia="ja-JP"/>
        </w:rPr>
        <w:t>the compiled resonance parameters are derive</w:t>
      </w:r>
      <w:r w:rsidR="00A34F5C">
        <w:rPr>
          <w:rFonts w:hint="eastAsia"/>
          <w:sz w:val="24"/>
          <w:szCs w:val="24"/>
          <w:lang w:val="en-GB" w:eastAsia="ja-JP"/>
        </w:rPr>
        <w:t xml:space="preserve">d by </w:t>
      </w:r>
      <w:r w:rsidR="00682F12">
        <w:rPr>
          <w:sz w:val="24"/>
          <w:szCs w:val="24"/>
          <w:lang w:val="en-GB" w:eastAsia="ja-JP"/>
        </w:rPr>
        <w:t xml:space="preserve">using the </w:t>
      </w:r>
      <w:r w:rsidR="00A34F5C">
        <w:rPr>
          <w:rFonts w:hint="eastAsia"/>
          <w:sz w:val="24"/>
          <w:szCs w:val="24"/>
          <w:lang w:val="en-GB" w:eastAsia="ja-JP"/>
        </w:rPr>
        <w:t xml:space="preserve">R-matrix </w:t>
      </w:r>
      <w:r w:rsidR="00682F12">
        <w:rPr>
          <w:sz w:val="24"/>
          <w:szCs w:val="24"/>
          <w:lang w:val="en-GB" w:eastAsia="ja-JP"/>
        </w:rPr>
        <w:t>formalism</w:t>
      </w:r>
      <w:r w:rsidR="00A34F5C">
        <w:rPr>
          <w:rFonts w:hint="eastAsia"/>
          <w:sz w:val="24"/>
          <w:szCs w:val="24"/>
          <w:lang w:val="en-GB" w:eastAsia="ja-JP"/>
        </w:rPr>
        <w:t>. T</w:t>
      </w:r>
      <w:r>
        <w:rPr>
          <w:rFonts w:hint="eastAsia"/>
          <w:sz w:val="24"/>
          <w:szCs w:val="24"/>
          <w:lang w:val="en-GB" w:eastAsia="ja-JP"/>
        </w:rPr>
        <w:t xml:space="preserve">his is not correct. Because the R-function approximation is a special case of the Reich-Moore approximation, </w:t>
      </w:r>
      <w:r w:rsidRPr="00BE27AB">
        <w:rPr>
          <w:rFonts w:hint="eastAsia"/>
          <w:sz w:val="24"/>
          <w:szCs w:val="24"/>
          <w:u w:val="single"/>
          <w:lang w:val="en-GB" w:eastAsia="ja-JP"/>
        </w:rPr>
        <w:t xml:space="preserve">the resonance parameters derived with the R-function approximation must be coded with the modifier </w:t>
      </w:r>
      <w:r w:rsidRPr="00BE27AB">
        <w:rPr>
          <w:rFonts w:hint="eastAsia"/>
          <w:u w:val="single"/>
          <w:lang w:val="en-GB" w:eastAsia="ja-JP"/>
        </w:rPr>
        <w:t>RM</w:t>
      </w:r>
      <w:r w:rsidR="00682F12" w:rsidRPr="00BE27AB">
        <w:rPr>
          <w:rFonts w:hint="eastAsia"/>
          <w:sz w:val="24"/>
          <w:szCs w:val="24"/>
          <w:u w:val="single"/>
          <w:lang w:val="en-GB" w:eastAsia="ja-JP"/>
        </w:rPr>
        <w:t xml:space="preserve"> </w:t>
      </w:r>
      <w:r w:rsidR="00682F12" w:rsidRPr="00BE27AB">
        <w:rPr>
          <w:sz w:val="24"/>
          <w:szCs w:val="24"/>
          <w:u w:val="single"/>
          <w:lang w:val="en-GB" w:eastAsia="ja-JP"/>
        </w:rPr>
        <w:t>(Reich-Moore formalism)</w:t>
      </w:r>
      <w:r w:rsidRPr="00BE27AB">
        <w:rPr>
          <w:rFonts w:hint="eastAsia"/>
          <w:sz w:val="24"/>
          <w:szCs w:val="24"/>
          <w:u w:val="single"/>
          <w:lang w:val="en-GB" w:eastAsia="ja-JP"/>
        </w:rPr>
        <w:t xml:space="preserve"> </w:t>
      </w:r>
      <w:r w:rsidR="00682F12" w:rsidRPr="00BE27AB">
        <w:rPr>
          <w:sz w:val="24"/>
          <w:szCs w:val="24"/>
          <w:u w:val="single"/>
          <w:lang w:val="en-GB" w:eastAsia="ja-JP"/>
        </w:rPr>
        <w:t xml:space="preserve">in </w:t>
      </w:r>
      <w:r w:rsidRPr="00BE27AB">
        <w:rPr>
          <w:rFonts w:hint="eastAsia"/>
          <w:sz w:val="24"/>
          <w:szCs w:val="24"/>
          <w:u w:val="single"/>
          <w:lang w:val="en-GB" w:eastAsia="ja-JP"/>
        </w:rPr>
        <w:t>REACTION SF8.</w:t>
      </w:r>
    </w:p>
    <w:p w14:paraId="18106442" w14:textId="77777777" w:rsidR="00707049" w:rsidRDefault="00707049" w:rsidP="00707049">
      <w:pPr>
        <w:suppressAutoHyphens w:val="0"/>
        <w:jc w:val="both"/>
        <w:rPr>
          <w:sz w:val="24"/>
          <w:szCs w:val="24"/>
          <w:lang w:val="en-GB" w:eastAsia="ja-JP"/>
        </w:rPr>
      </w:pPr>
    </w:p>
    <w:p w14:paraId="47E2E874" w14:textId="77777777" w:rsidR="00B37157" w:rsidRDefault="0046049E" w:rsidP="00707049">
      <w:pPr>
        <w:suppressAutoHyphens w:val="0"/>
        <w:jc w:val="both"/>
        <w:rPr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 xml:space="preserve">If the author used the R-matrix formalism but without mentioning </w:t>
      </w:r>
      <w:r w:rsidR="00682F12">
        <w:rPr>
          <w:sz w:val="24"/>
          <w:szCs w:val="24"/>
          <w:lang w:val="en-GB" w:eastAsia="ja-JP"/>
        </w:rPr>
        <w:t>more</w:t>
      </w:r>
      <w:r w:rsidR="00682F12">
        <w:rPr>
          <w:rFonts w:hint="eastAsia"/>
          <w:sz w:val="24"/>
          <w:szCs w:val="24"/>
          <w:lang w:val="en-GB" w:eastAsia="ja-JP"/>
        </w:rPr>
        <w:t xml:space="preserve"> details</w:t>
      </w:r>
      <w:r>
        <w:rPr>
          <w:rFonts w:hint="eastAsia"/>
          <w:sz w:val="24"/>
          <w:szCs w:val="24"/>
          <w:lang w:val="en-GB" w:eastAsia="ja-JP"/>
        </w:rPr>
        <w:t xml:space="preserve">, we can </w:t>
      </w:r>
      <w:r w:rsidR="00CA6FC1">
        <w:rPr>
          <w:sz w:val="24"/>
          <w:szCs w:val="24"/>
          <w:lang w:val="en-GB" w:eastAsia="ja-JP"/>
        </w:rPr>
        <w:t>leave REACTION SF8 blank but add some details (</w:t>
      </w:r>
      <w:r w:rsidR="00CA6FC1" w:rsidRPr="00CA6FC1">
        <w:rPr>
          <w:i/>
          <w:sz w:val="24"/>
          <w:szCs w:val="24"/>
          <w:lang w:val="en-GB" w:eastAsia="ja-JP"/>
        </w:rPr>
        <w:t>e.g.</w:t>
      </w:r>
      <w:r w:rsidR="00CA6FC1">
        <w:rPr>
          <w:sz w:val="24"/>
          <w:szCs w:val="24"/>
          <w:lang w:val="en-GB" w:eastAsia="ja-JP"/>
        </w:rPr>
        <w:t>, code used for resonance analysis</w:t>
      </w:r>
      <w:r w:rsidR="00B37157">
        <w:rPr>
          <w:sz w:val="24"/>
          <w:szCs w:val="24"/>
          <w:lang w:val="en-GB" w:eastAsia="ja-JP"/>
        </w:rPr>
        <w:t>, like REFIT, SAMMY, FANAC, TACASI, etc.</w:t>
      </w:r>
      <w:r w:rsidR="00CA6FC1">
        <w:rPr>
          <w:sz w:val="24"/>
          <w:szCs w:val="24"/>
          <w:lang w:val="en-GB" w:eastAsia="ja-JP"/>
        </w:rPr>
        <w:t>) in free text</w:t>
      </w:r>
      <w:r w:rsidR="0003040F">
        <w:rPr>
          <w:sz w:val="24"/>
          <w:szCs w:val="24"/>
          <w:lang w:val="en-GB" w:eastAsia="ja-JP"/>
        </w:rPr>
        <w:t xml:space="preserve">. </w:t>
      </w:r>
    </w:p>
    <w:p w14:paraId="29E2292B" w14:textId="77777777" w:rsidR="00BE27AB" w:rsidRDefault="00BE27AB" w:rsidP="00BE27AB">
      <w:pPr>
        <w:suppressAutoHyphens w:val="0"/>
        <w:rPr>
          <w:b/>
          <w:sz w:val="24"/>
          <w:szCs w:val="24"/>
          <w:lang w:val="en-GB" w:eastAsia="ja-JP"/>
        </w:rPr>
      </w:pPr>
    </w:p>
    <w:p w14:paraId="64522AEA" w14:textId="77777777" w:rsidR="00BE27AB" w:rsidRPr="00707049" w:rsidRDefault="00BE27AB" w:rsidP="00BE27AB">
      <w:pPr>
        <w:suppressAutoHyphens w:val="0"/>
        <w:rPr>
          <w:b/>
          <w:sz w:val="24"/>
          <w:szCs w:val="24"/>
          <w:u w:val="single"/>
          <w:lang w:val="en-GB" w:eastAsia="ja-JP"/>
        </w:rPr>
      </w:pPr>
      <w:r w:rsidRPr="00707049">
        <w:rPr>
          <w:rFonts w:hint="eastAsia"/>
          <w:b/>
          <w:sz w:val="24"/>
          <w:szCs w:val="24"/>
          <w:u w:val="single"/>
          <w:lang w:val="en-GB" w:eastAsia="ja-JP"/>
        </w:rPr>
        <w:t>Dictionary 23 (Analyses)</w:t>
      </w:r>
    </w:p>
    <w:p w14:paraId="3F453A1C" w14:textId="77777777" w:rsidR="00BE27AB" w:rsidRPr="00707049" w:rsidRDefault="00BE27AB" w:rsidP="00BE27AB">
      <w:pPr>
        <w:suppressAutoHyphens w:val="0"/>
        <w:rPr>
          <w:sz w:val="24"/>
          <w:szCs w:val="24"/>
          <w:lang w:val="en-GB" w:eastAsia="ja-JP"/>
        </w:rPr>
      </w:pPr>
      <w:r w:rsidRPr="00707049">
        <w:rPr>
          <w:rFonts w:hint="eastAsia"/>
          <w:szCs w:val="24"/>
          <w:lang w:val="en-GB" w:eastAsia="ja-JP"/>
        </w:rPr>
        <w:t>RFN</w:t>
      </w:r>
      <w:r>
        <w:rPr>
          <w:rFonts w:hint="eastAsia"/>
          <w:sz w:val="24"/>
          <w:szCs w:val="24"/>
          <w:lang w:val="en-GB" w:eastAsia="ja-JP"/>
        </w:rPr>
        <w:tab/>
      </w:r>
      <w:r w:rsidRPr="00707049">
        <w:rPr>
          <w:rFonts w:hint="eastAsia"/>
          <w:sz w:val="24"/>
          <w:szCs w:val="24"/>
          <w:lang w:val="en-GB" w:eastAsia="ja-JP"/>
        </w:rPr>
        <w:t>(</w:t>
      </w:r>
      <w:r w:rsidRPr="00707049">
        <w:rPr>
          <w:rFonts w:hint="eastAsia"/>
          <w:i/>
          <w:sz w:val="24"/>
          <w:szCs w:val="24"/>
          <w:lang w:val="en-GB" w:eastAsia="ja-JP"/>
        </w:rPr>
        <w:t>Obsolete</w:t>
      </w:r>
      <w:r w:rsidRPr="00707049">
        <w:rPr>
          <w:rFonts w:hint="eastAsia"/>
          <w:sz w:val="24"/>
          <w:szCs w:val="24"/>
          <w:lang w:val="en-GB" w:eastAsia="ja-JP"/>
        </w:rPr>
        <w:t>)</w:t>
      </w:r>
    </w:p>
    <w:p w14:paraId="2AA1C5DC" w14:textId="77777777" w:rsidR="00BE27AB" w:rsidRDefault="00BE27AB" w:rsidP="00707049">
      <w:pPr>
        <w:suppressAutoHyphens w:val="0"/>
        <w:jc w:val="both"/>
        <w:rPr>
          <w:sz w:val="24"/>
          <w:szCs w:val="24"/>
          <w:lang w:val="en-GB" w:eastAsia="ja-JP"/>
        </w:rPr>
      </w:pPr>
    </w:p>
    <w:p w14:paraId="1B306011" w14:textId="77777777" w:rsidR="00BE27AB" w:rsidRDefault="00BE27AB" w:rsidP="00707049">
      <w:pPr>
        <w:suppressAutoHyphens w:val="0"/>
        <w:jc w:val="both"/>
        <w:rPr>
          <w:sz w:val="24"/>
          <w:szCs w:val="24"/>
          <w:lang w:val="en-GB" w:eastAsia="ja-JP"/>
        </w:rPr>
      </w:pPr>
    </w:p>
    <w:p w14:paraId="18505767" w14:textId="0E840C44" w:rsidR="00A34F5C" w:rsidRDefault="00BE27AB" w:rsidP="00707049">
      <w:pPr>
        <w:suppressAutoHyphens w:val="0"/>
        <w:jc w:val="both"/>
        <w:rPr>
          <w:sz w:val="24"/>
          <w:szCs w:val="24"/>
          <w:u w:val="single"/>
          <w:lang w:val="en-GB" w:eastAsia="ja-JP"/>
        </w:rPr>
      </w:pPr>
      <w:r>
        <w:rPr>
          <w:rFonts w:hint="eastAsia"/>
          <w:sz w:val="24"/>
          <w:szCs w:val="24"/>
          <w:u w:val="single"/>
          <w:lang w:val="en-GB" w:eastAsia="ja-JP"/>
        </w:rPr>
        <w:t>Additional remarks</w:t>
      </w:r>
    </w:p>
    <w:p w14:paraId="5D35BD4B" w14:textId="77777777" w:rsidR="00A34F5C" w:rsidRPr="00A34F5C" w:rsidRDefault="00A34F5C" w:rsidP="00707049">
      <w:pPr>
        <w:suppressAutoHyphens w:val="0"/>
        <w:jc w:val="both"/>
        <w:rPr>
          <w:sz w:val="24"/>
          <w:szCs w:val="24"/>
          <w:u w:val="single"/>
          <w:lang w:val="en-GB" w:eastAsia="ja-JP"/>
        </w:rPr>
      </w:pPr>
    </w:p>
    <w:p w14:paraId="71ABCCE5" w14:textId="77777777" w:rsidR="00707049" w:rsidRPr="00A34F5C" w:rsidRDefault="00A34F5C" w:rsidP="00A34F5C">
      <w:pPr>
        <w:pStyle w:val="ListParagraph"/>
        <w:numPr>
          <w:ilvl w:val="0"/>
          <w:numId w:val="9"/>
        </w:numPr>
        <w:suppressAutoHyphens w:val="0"/>
        <w:jc w:val="both"/>
        <w:rPr>
          <w:lang w:val="en-GB" w:eastAsia="ja-JP"/>
        </w:rPr>
      </w:pPr>
      <w:r w:rsidRPr="00A34F5C">
        <w:rPr>
          <w:rFonts w:hint="eastAsia"/>
          <w:lang w:val="en-GB" w:eastAsia="ja-JP"/>
        </w:rPr>
        <w:t>T</w:t>
      </w:r>
      <w:r w:rsidR="00707049" w:rsidRPr="00A34F5C">
        <w:rPr>
          <w:rFonts w:hint="eastAsia"/>
          <w:lang w:val="en-GB" w:eastAsia="ja-JP"/>
        </w:rPr>
        <w:t>he resonance analysis code REFIT implements onl</w:t>
      </w:r>
      <w:r w:rsidRPr="00A34F5C">
        <w:rPr>
          <w:rFonts w:hint="eastAsia"/>
          <w:lang w:val="en-GB" w:eastAsia="ja-JP"/>
        </w:rPr>
        <w:t>y the Reich-Moore approximation while SAMMY implements several approximations.</w:t>
      </w:r>
    </w:p>
    <w:p w14:paraId="66E0678C" w14:textId="77777777" w:rsidR="00A34F5C" w:rsidRDefault="00A34F5C" w:rsidP="00A34F5C">
      <w:pPr>
        <w:pStyle w:val="ListParagraph"/>
        <w:numPr>
          <w:ilvl w:val="0"/>
          <w:numId w:val="9"/>
        </w:numPr>
        <w:suppressAutoHyphens w:val="0"/>
        <w:jc w:val="both"/>
        <w:rPr>
          <w:lang w:val="en-GB" w:eastAsia="ja-JP"/>
        </w:rPr>
      </w:pPr>
      <w:r w:rsidRPr="00A34F5C">
        <w:rPr>
          <w:rFonts w:hint="eastAsia"/>
          <w:lang w:val="en-GB" w:eastAsia="ja-JP"/>
        </w:rPr>
        <w:t xml:space="preserve">We have modifiers </w:t>
      </w:r>
      <w:r w:rsidRPr="00A34F5C">
        <w:rPr>
          <w:lang w:val="en-GB" w:eastAsia="ja-JP"/>
        </w:rPr>
        <w:t xml:space="preserve">for </w:t>
      </w:r>
      <w:r w:rsidRPr="00A34F5C">
        <w:rPr>
          <w:rFonts w:hint="eastAsia"/>
          <w:lang w:val="en-GB" w:eastAsia="ja-JP"/>
        </w:rPr>
        <w:t xml:space="preserve">the </w:t>
      </w:r>
      <w:r w:rsidRPr="00A34F5C">
        <w:rPr>
          <w:lang w:val="en-GB" w:eastAsia="ja-JP"/>
        </w:rPr>
        <w:t>Vogt formalism (</w:t>
      </w:r>
      <w:r w:rsidRPr="00A34F5C">
        <w:rPr>
          <w:sz w:val="20"/>
          <w:lang w:val="en-GB" w:eastAsia="ja-JP"/>
        </w:rPr>
        <w:t>VGT</w:t>
      </w:r>
      <w:r w:rsidRPr="00A34F5C">
        <w:rPr>
          <w:lang w:val="en-GB" w:eastAsia="ja-JP"/>
        </w:rPr>
        <w:t>, only one entry from an article published in 1960) and Adler-Adler formalism (</w:t>
      </w:r>
      <w:r w:rsidRPr="00A34F5C">
        <w:rPr>
          <w:sz w:val="20"/>
          <w:lang w:val="en-GB" w:eastAsia="ja-JP"/>
        </w:rPr>
        <w:t>AA</w:t>
      </w:r>
      <w:r w:rsidRPr="00A34F5C">
        <w:rPr>
          <w:lang w:val="en-GB" w:eastAsia="ja-JP"/>
        </w:rPr>
        <w:t>, six entries from articles published in 1970, 1978, 1980, 1983)</w:t>
      </w:r>
      <w:r w:rsidRPr="00A34F5C">
        <w:rPr>
          <w:rFonts w:hint="eastAsia"/>
          <w:lang w:val="en-GB" w:eastAsia="ja-JP"/>
        </w:rPr>
        <w:t xml:space="preserve">. There could be resonance parameters derived by the single and multi </w:t>
      </w:r>
      <w:proofErr w:type="spellStart"/>
      <w:r w:rsidRPr="00A34F5C">
        <w:rPr>
          <w:rFonts w:hint="eastAsia"/>
          <w:lang w:val="en-GB" w:eastAsia="ja-JP"/>
        </w:rPr>
        <w:t>Breit</w:t>
      </w:r>
      <w:proofErr w:type="spellEnd"/>
      <w:r w:rsidRPr="00A34F5C">
        <w:rPr>
          <w:rFonts w:hint="eastAsia"/>
          <w:lang w:val="en-GB" w:eastAsia="ja-JP"/>
        </w:rPr>
        <w:t>-Wigner approximations, and addition of new modifiers for them could be considered.</w:t>
      </w:r>
    </w:p>
    <w:p w14:paraId="7CC515C6" w14:textId="30F174DC" w:rsidR="00E73CCF" w:rsidRPr="00A34F5C" w:rsidRDefault="00E73CCF" w:rsidP="00A34F5C">
      <w:pPr>
        <w:pStyle w:val="ListParagraph"/>
        <w:numPr>
          <w:ilvl w:val="0"/>
          <w:numId w:val="9"/>
        </w:numPr>
        <w:suppressAutoHyphens w:val="0"/>
        <w:jc w:val="both"/>
        <w:rPr>
          <w:lang w:val="en-GB" w:eastAsia="ja-JP"/>
        </w:rPr>
      </w:pPr>
      <w:r>
        <w:rPr>
          <w:lang w:val="en-GB" w:eastAsia="ja-JP"/>
        </w:rPr>
        <w:lastRenderedPageBreak/>
        <w:t xml:space="preserve">I have quickly checked the numbers of EXFOR entries providing neutron resonance parameters coded with </w:t>
      </w:r>
      <w:r w:rsidRPr="00BE27AB">
        <w:rPr>
          <w:sz w:val="20"/>
          <w:lang w:val="en-GB" w:eastAsia="ja-JP"/>
        </w:rPr>
        <w:t>SLA</w:t>
      </w:r>
      <w:r>
        <w:rPr>
          <w:lang w:val="en-GB" w:eastAsia="ja-JP"/>
        </w:rPr>
        <w:t xml:space="preserve">, </w:t>
      </w:r>
      <w:r w:rsidRPr="00BE27AB">
        <w:rPr>
          <w:sz w:val="20"/>
          <w:lang w:val="en-GB" w:eastAsia="ja-JP"/>
        </w:rPr>
        <w:t>MLA</w:t>
      </w:r>
      <w:r>
        <w:rPr>
          <w:lang w:val="en-GB" w:eastAsia="ja-JP"/>
        </w:rPr>
        <w:t xml:space="preserve">, </w:t>
      </w:r>
      <w:r w:rsidRPr="00BE27AB">
        <w:rPr>
          <w:sz w:val="20"/>
          <w:lang w:val="en-GB" w:eastAsia="ja-JP"/>
        </w:rPr>
        <w:t>SHAPE</w:t>
      </w:r>
      <w:r>
        <w:rPr>
          <w:lang w:val="en-GB" w:eastAsia="ja-JP"/>
        </w:rPr>
        <w:t xml:space="preserve">, </w:t>
      </w:r>
      <w:r w:rsidRPr="00BE27AB">
        <w:rPr>
          <w:sz w:val="20"/>
          <w:lang w:val="en-GB" w:eastAsia="ja-JP"/>
        </w:rPr>
        <w:t>AREA</w:t>
      </w:r>
      <w:r>
        <w:rPr>
          <w:lang w:val="en-GB" w:eastAsia="ja-JP"/>
        </w:rPr>
        <w:t xml:space="preserve"> and their combination under ANALYSIS. </w:t>
      </w:r>
      <w:r w:rsidR="00691497">
        <w:rPr>
          <w:lang w:val="en-GB" w:eastAsia="ja-JP"/>
        </w:rPr>
        <w:t>T</w:t>
      </w:r>
      <w:r>
        <w:rPr>
          <w:lang w:val="en-GB" w:eastAsia="ja-JP"/>
        </w:rPr>
        <w:t>he parenthesized numbers give the number of entries</w:t>
      </w:r>
      <w:r w:rsidR="00691497">
        <w:rPr>
          <w:lang w:val="en-GB" w:eastAsia="ja-JP"/>
        </w:rPr>
        <w:t>:</w:t>
      </w:r>
    </w:p>
    <w:tbl>
      <w:tblPr>
        <w:tblStyle w:val="TableGrid"/>
        <w:tblW w:w="8522" w:type="dxa"/>
        <w:tblInd w:w="720" w:type="dxa"/>
        <w:tblLook w:val="04A0" w:firstRow="1" w:lastRow="0" w:firstColumn="1" w:lastColumn="0" w:noHBand="0" w:noVBand="1"/>
      </w:tblPr>
      <w:tblGrid>
        <w:gridCol w:w="2082"/>
        <w:gridCol w:w="2835"/>
        <w:gridCol w:w="1701"/>
        <w:gridCol w:w="1904"/>
      </w:tblGrid>
      <w:tr w:rsidR="00BA3034" w:rsidRPr="00691497" w14:paraId="16656AB9" w14:textId="77777777" w:rsidTr="00AE6E06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362B" w14:textId="77777777" w:rsidR="00E73CCF" w:rsidRPr="00691497" w:rsidRDefault="00E73CC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2E98" w14:textId="3993C96C" w:rsidR="00E73CCF" w:rsidRPr="00691497" w:rsidRDefault="00E73CCF">
            <w:pPr>
              <w:rPr>
                <w:sz w:val="24"/>
                <w:szCs w:val="24"/>
              </w:rPr>
            </w:pPr>
            <w:r w:rsidRPr="00691497">
              <w:rPr>
                <w:sz w:val="24"/>
                <w:szCs w:val="24"/>
              </w:rPr>
              <w:t>Approximation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5B73" w14:textId="3F316AE7" w:rsidR="00E73CCF" w:rsidRPr="00691497" w:rsidRDefault="00BE27AB">
            <w:pPr>
              <w:rPr>
                <w:sz w:val="24"/>
                <w:szCs w:val="24"/>
              </w:rPr>
            </w:pPr>
            <w:r w:rsidRPr="00BE27AB">
              <w:rPr>
                <w:szCs w:val="24"/>
              </w:rPr>
              <w:t>SHAPE</w:t>
            </w:r>
            <w:r w:rsidR="00E73CCF" w:rsidRPr="00691497">
              <w:rPr>
                <w:sz w:val="24"/>
                <w:szCs w:val="24"/>
              </w:rPr>
              <w:t xml:space="preserve"> (190)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3C00" w14:textId="3504C4F7" w:rsidR="00E73CCF" w:rsidRPr="00691497" w:rsidRDefault="00BE27AB">
            <w:pPr>
              <w:rPr>
                <w:rFonts w:eastAsiaTheme="minorEastAsia"/>
                <w:sz w:val="24"/>
                <w:szCs w:val="24"/>
              </w:rPr>
            </w:pPr>
            <w:r w:rsidRPr="00BE27AB">
              <w:rPr>
                <w:szCs w:val="24"/>
              </w:rPr>
              <w:t>AREA</w:t>
            </w:r>
            <w:r w:rsidR="00E73CCF" w:rsidRPr="00691497">
              <w:rPr>
                <w:sz w:val="24"/>
                <w:szCs w:val="24"/>
              </w:rPr>
              <w:t xml:space="preserve"> (385)</w:t>
            </w:r>
          </w:p>
        </w:tc>
      </w:tr>
      <w:tr w:rsidR="00BA3034" w:rsidRPr="00691497" w14:paraId="48B8AA59" w14:textId="77777777" w:rsidTr="00AE6E06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2F9C" w14:textId="1A290119" w:rsidR="00E73CCF" w:rsidRPr="00691497" w:rsidRDefault="00E73CCF" w:rsidP="00E73CCF">
            <w:pPr>
              <w:rPr>
                <w:sz w:val="24"/>
                <w:szCs w:val="24"/>
              </w:rPr>
            </w:pPr>
            <w:r w:rsidRPr="00BE27AB">
              <w:rPr>
                <w:szCs w:val="24"/>
              </w:rPr>
              <w:t>SLA</w:t>
            </w:r>
            <w:r w:rsidRPr="00691497">
              <w:rPr>
                <w:sz w:val="24"/>
                <w:szCs w:val="24"/>
              </w:rPr>
              <w:t xml:space="preserve"> (94)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064E" w14:textId="72C9A9DD" w:rsidR="00E73CCF" w:rsidRPr="00691497" w:rsidRDefault="00E73CCF">
            <w:pPr>
              <w:rPr>
                <w:sz w:val="24"/>
                <w:szCs w:val="24"/>
              </w:rPr>
            </w:pPr>
            <w:r w:rsidRPr="00691497">
              <w:rPr>
                <w:sz w:val="24"/>
                <w:szCs w:val="24"/>
              </w:rPr>
              <w:t xml:space="preserve">Single level </w:t>
            </w:r>
            <w:proofErr w:type="spellStart"/>
            <w:r w:rsidRPr="00691497">
              <w:rPr>
                <w:sz w:val="24"/>
                <w:szCs w:val="24"/>
              </w:rPr>
              <w:t>Breit</w:t>
            </w:r>
            <w:proofErr w:type="spellEnd"/>
            <w:r w:rsidR="00AE6E06">
              <w:rPr>
                <w:sz w:val="24"/>
                <w:szCs w:val="24"/>
              </w:rPr>
              <w:t>-</w:t>
            </w:r>
            <w:r w:rsidRPr="00691497">
              <w:rPr>
                <w:sz w:val="24"/>
                <w:szCs w:val="24"/>
              </w:rPr>
              <w:t>Wigner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213A" w14:textId="41925A6E" w:rsidR="00E73CCF" w:rsidRPr="00691497" w:rsidRDefault="00E73CCF" w:rsidP="00BA3034">
            <w:pPr>
              <w:rPr>
                <w:rFonts w:eastAsiaTheme="minorEastAsia"/>
                <w:sz w:val="24"/>
                <w:szCs w:val="24"/>
              </w:rPr>
            </w:pPr>
            <w:r w:rsidRPr="00691497">
              <w:rPr>
                <w:sz w:val="24"/>
                <w:szCs w:val="24"/>
              </w:rPr>
              <w:t>(14)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98B2" w14:textId="77777777" w:rsidR="00E73CCF" w:rsidRPr="00691497" w:rsidRDefault="00E73CCF" w:rsidP="00BA3034">
            <w:pPr>
              <w:rPr>
                <w:rFonts w:eastAsiaTheme="minorEastAsia"/>
                <w:sz w:val="24"/>
                <w:szCs w:val="24"/>
              </w:rPr>
            </w:pPr>
            <w:r w:rsidRPr="00691497">
              <w:rPr>
                <w:sz w:val="24"/>
                <w:szCs w:val="24"/>
              </w:rPr>
              <w:t>(7)</w:t>
            </w:r>
          </w:p>
        </w:tc>
      </w:tr>
      <w:tr w:rsidR="00BA3034" w:rsidRPr="00691497" w14:paraId="4B32F3F0" w14:textId="77777777" w:rsidTr="00AE6E06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09A" w14:textId="0DE6F340" w:rsidR="00E73CCF" w:rsidRPr="00691497" w:rsidRDefault="00E73CCF" w:rsidP="00E73CCF">
            <w:pPr>
              <w:rPr>
                <w:sz w:val="24"/>
                <w:szCs w:val="24"/>
              </w:rPr>
            </w:pPr>
            <w:r w:rsidRPr="00BE27AB">
              <w:rPr>
                <w:szCs w:val="24"/>
              </w:rPr>
              <w:t>MLA</w:t>
            </w:r>
            <w:r w:rsidRPr="00691497">
              <w:rPr>
                <w:sz w:val="24"/>
                <w:szCs w:val="24"/>
              </w:rPr>
              <w:t xml:space="preserve"> (133)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AB4" w14:textId="68FFA2A8" w:rsidR="00E73CCF" w:rsidRPr="00691497" w:rsidRDefault="00E73CCF" w:rsidP="00E73CCF">
            <w:pPr>
              <w:suppressAutoHyphens w:val="0"/>
              <w:rPr>
                <w:sz w:val="24"/>
                <w:szCs w:val="24"/>
              </w:rPr>
            </w:pPr>
            <w:r w:rsidRPr="00691497">
              <w:rPr>
                <w:sz w:val="24"/>
                <w:szCs w:val="24"/>
              </w:rPr>
              <w:t xml:space="preserve">Multilevel </w:t>
            </w:r>
            <w:proofErr w:type="spellStart"/>
            <w:r w:rsidRPr="00691497">
              <w:rPr>
                <w:sz w:val="24"/>
                <w:szCs w:val="24"/>
              </w:rPr>
              <w:t>Breit</w:t>
            </w:r>
            <w:proofErr w:type="spellEnd"/>
            <w:r w:rsidR="00AE6E06">
              <w:rPr>
                <w:sz w:val="24"/>
                <w:szCs w:val="24"/>
              </w:rPr>
              <w:t>-</w:t>
            </w:r>
            <w:r w:rsidRPr="00691497">
              <w:rPr>
                <w:sz w:val="24"/>
                <w:szCs w:val="24"/>
              </w:rPr>
              <w:t>Wigner</w:t>
            </w:r>
          </w:p>
          <w:p w14:paraId="4E340A53" w14:textId="77777777" w:rsidR="00E73CCF" w:rsidRPr="00691497" w:rsidRDefault="00E73CCF" w:rsidP="00E73CCF">
            <w:pPr>
              <w:suppressAutoHyphens w:val="0"/>
              <w:rPr>
                <w:sz w:val="24"/>
                <w:szCs w:val="24"/>
              </w:rPr>
            </w:pPr>
            <w:r w:rsidRPr="00691497">
              <w:rPr>
                <w:sz w:val="24"/>
                <w:szCs w:val="24"/>
              </w:rPr>
              <w:t>Reich-Moore</w:t>
            </w:r>
          </w:p>
          <w:p w14:paraId="460ABBAB" w14:textId="77777777" w:rsidR="00E73CCF" w:rsidRDefault="00E73CCF" w:rsidP="00E73CCF">
            <w:pPr>
              <w:rPr>
                <w:sz w:val="24"/>
                <w:szCs w:val="24"/>
              </w:rPr>
            </w:pPr>
            <w:r w:rsidRPr="00691497">
              <w:rPr>
                <w:sz w:val="24"/>
                <w:szCs w:val="24"/>
              </w:rPr>
              <w:t>Adler-Adler</w:t>
            </w:r>
          </w:p>
          <w:p w14:paraId="7BD3C004" w14:textId="2D38FF16" w:rsidR="00691497" w:rsidRPr="00691497" w:rsidRDefault="00691497" w:rsidP="00E7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894B" w14:textId="7D9297BA" w:rsidR="00E73CCF" w:rsidRPr="00691497" w:rsidRDefault="00E73CCF" w:rsidP="00BA3034">
            <w:pPr>
              <w:rPr>
                <w:rFonts w:eastAsiaTheme="minorEastAsia"/>
                <w:sz w:val="24"/>
                <w:szCs w:val="24"/>
              </w:rPr>
            </w:pPr>
            <w:r w:rsidRPr="00691497">
              <w:rPr>
                <w:sz w:val="24"/>
                <w:szCs w:val="24"/>
              </w:rPr>
              <w:t>(7)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E8AC" w14:textId="77777777" w:rsidR="00E73CCF" w:rsidRPr="00691497" w:rsidRDefault="00E73CCF" w:rsidP="00BA3034">
            <w:pPr>
              <w:rPr>
                <w:rFonts w:eastAsiaTheme="minorEastAsia"/>
                <w:sz w:val="24"/>
                <w:szCs w:val="24"/>
              </w:rPr>
            </w:pPr>
            <w:r w:rsidRPr="00691497">
              <w:rPr>
                <w:sz w:val="24"/>
                <w:szCs w:val="24"/>
              </w:rPr>
              <w:t>(1)</w:t>
            </w:r>
          </w:p>
        </w:tc>
      </w:tr>
    </w:tbl>
    <w:p w14:paraId="27A86B51" w14:textId="77777777" w:rsidR="00AE6E06" w:rsidRDefault="00AE6E06" w:rsidP="00E73CCF">
      <w:pPr>
        <w:suppressAutoHyphens w:val="0"/>
        <w:jc w:val="both"/>
        <w:rPr>
          <w:sz w:val="24"/>
          <w:szCs w:val="24"/>
          <w:lang w:val="en-GB" w:eastAsia="ja-JP"/>
        </w:rPr>
      </w:pPr>
    </w:p>
    <w:p w14:paraId="49F15786" w14:textId="27AFF3D0" w:rsidR="00694096" w:rsidRPr="00E73CCF" w:rsidRDefault="00E73CCF" w:rsidP="00E73CCF">
      <w:pPr>
        <w:suppressAutoHyphens w:val="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It is questionable if these analysis codes and their combinations have been applied in a consistent manner. For example, I would expect </w:t>
      </w:r>
      <w:r w:rsidRPr="00BE27AB">
        <w:rPr>
          <w:szCs w:val="24"/>
          <w:lang w:val="en-GB" w:eastAsia="ja-JP"/>
        </w:rPr>
        <w:t>MLA</w:t>
      </w:r>
      <w:r>
        <w:rPr>
          <w:sz w:val="24"/>
          <w:szCs w:val="24"/>
          <w:lang w:val="en-GB" w:eastAsia="ja-JP"/>
        </w:rPr>
        <w:t xml:space="preserve"> is coded with </w:t>
      </w:r>
      <w:r w:rsidRPr="00BE27AB">
        <w:rPr>
          <w:szCs w:val="24"/>
          <w:lang w:val="en-GB" w:eastAsia="ja-JP"/>
        </w:rPr>
        <w:t>SHAPE</w:t>
      </w:r>
      <w:r>
        <w:rPr>
          <w:sz w:val="24"/>
          <w:szCs w:val="24"/>
          <w:lang w:val="en-GB" w:eastAsia="ja-JP"/>
        </w:rPr>
        <w:t xml:space="preserve"> in many cases.</w:t>
      </w:r>
    </w:p>
    <w:p w14:paraId="3EFBF294" w14:textId="77777777" w:rsidR="00707049" w:rsidRDefault="00707049" w:rsidP="00F61C5C">
      <w:pPr>
        <w:suppressAutoHyphens w:val="0"/>
        <w:rPr>
          <w:b/>
          <w:sz w:val="24"/>
          <w:szCs w:val="24"/>
          <w:lang w:val="en-GB" w:eastAsia="ja-JP"/>
        </w:rPr>
      </w:pPr>
    </w:p>
    <w:p w14:paraId="6295DC2D" w14:textId="77777777" w:rsidR="00A34F5C" w:rsidRPr="00A34F5C" w:rsidRDefault="00A34F5C" w:rsidP="00356148">
      <w:pPr>
        <w:suppressAutoHyphens w:val="0"/>
        <w:jc w:val="both"/>
        <w:rPr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 xml:space="preserve">Frank </w:t>
      </w:r>
      <w:proofErr w:type="spellStart"/>
      <w:r>
        <w:rPr>
          <w:rFonts w:hint="eastAsia"/>
          <w:sz w:val="24"/>
          <w:szCs w:val="24"/>
          <w:lang w:val="en-GB" w:eastAsia="ja-JP"/>
        </w:rPr>
        <w:t>Gunsing</w:t>
      </w:r>
      <w:proofErr w:type="spellEnd"/>
      <w:r>
        <w:rPr>
          <w:rFonts w:hint="eastAsia"/>
          <w:sz w:val="24"/>
          <w:szCs w:val="24"/>
          <w:lang w:val="en-GB" w:eastAsia="ja-JP"/>
        </w:rPr>
        <w:t xml:space="preserve"> (</w:t>
      </w:r>
      <w:r w:rsidR="00356148">
        <w:rPr>
          <w:rFonts w:hint="eastAsia"/>
          <w:sz w:val="24"/>
          <w:szCs w:val="24"/>
          <w:lang w:val="en-GB" w:eastAsia="ja-JP"/>
        </w:rPr>
        <w:t xml:space="preserve">CEA </w:t>
      </w:r>
      <w:proofErr w:type="spellStart"/>
      <w:r w:rsidR="00356148">
        <w:rPr>
          <w:rFonts w:hint="eastAsia"/>
          <w:sz w:val="24"/>
          <w:szCs w:val="24"/>
          <w:lang w:val="en-GB" w:eastAsia="ja-JP"/>
        </w:rPr>
        <w:t>Saclay</w:t>
      </w:r>
      <w:proofErr w:type="spellEnd"/>
      <w:r w:rsidR="00356148">
        <w:rPr>
          <w:rFonts w:hint="eastAsia"/>
          <w:sz w:val="24"/>
          <w:szCs w:val="24"/>
          <w:lang w:val="en-GB" w:eastAsia="ja-JP"/>
        </w:rPr>
        <w:t xml:space="preserve">) has kindly provided me useful remarks on various approximations and their </w:t>
      </w:r>
      <w:r w:rsidR="00356148">
        <w:rPr>
          <w:sz w:val="24"/>
          <w:szCs w:val="24"/>
          <w:lang w:val="en-GB" w:eastAsia="ja-JP"/>
        </w:rPr>
        <w:t>expression</w:t>
      </w:r>
      <w:r w:rsidR="00C759DF">
        <w:rPr>
          <w:sz w:val="24"/>
          <w:szCs w:val="24"/>
          <w:lang w:val="en-GB" w:eastAsia="ja-JP"/>
        </w:rPr>
        <w:t>s</w:t>
      </w:r>
      <w:r w:rsidR="00356148">
        <w:rPr>
          <w:rFonts w:hint="eastAsia"/>
          <w:sz w:val="24"/>
          <w:szCs w:val="24"/>
          <w:lang w:val="en-GB" w:eastAsia="ja-JP"/>
        </w:rPr>
        <w:t xml:space="preserve"> in </w:t>
      </w:r>
      <w:r w:rsidR="00C759DF">
        <w:rPr>
          <w:sz w:val="24"/>
          <w:szCs w:val="24"/>
          <w:lang w:val="en-GB" w:eastAsia="ja-JP"/>
        </w:rPr>
        <w:t>EXFOR</w:t>
      </w:r>
      <w:r w:rsidR="00356148">
        <w:rPr>
          <w:rFonts w:hint="eastAsia"/>
          <w:sz w:val="24"/>
          <w:szCs w:val="24"/>
          <w:lang w:val="en-GB" w:eastAsia="ja-JP"/>
        </w:rPr>
        <w:t>.</w:t>
      </w:r>
    </w:p>
    <w:p w14:paraId="2A2C896F" w14:textId="77777777" w:rsidR="00A34F5C" w:rsidRDefault="00A34F5C" w:rsidP="00F61C5C">
      <w:pPr>
        <w:suppressAutoHyphens w:val="0"/>
        <w:rPr>
          <w:b/>
          <w:sz w:val="24"/>
          <w:szCs w:val="24"/>
          <w:lang w:val="en-GB" w:eastAsia="ja-JP"/>
        </w:rPr>
      </w:pPr>
    </w:p>
    <w:p w14:paraId="09A12E0F" w14:textId="77777777" w:rsidR="003A04EE" w:rsidRDefault="00F61C5C" w:rsidP="00F61C5C">
      <w:pPr>
        <w:suppressAutoHyphens w:val="0"/>
        <w:rPr>
          <w:b/>
          <w:sz w:val="24"/>
          <w:szCs w:val="24"/>
          <w:lang w:val="en-GB" w:eastAsia="ja-JP"/>
        </w:rPr>
      </w:pPr>
      <w:r w:rsidRPr="00F61C5C">
        <w:rPr>
          <w:b/>
          <w:sz w:val="24"/>
          <w:szCs w:val="24"/>
          <w:lang w:val="en-GB" w:eastAsia="ja-JP"/>
        </w:rPr>
        <w:t>Distribution:</w:t>
      </w:r>
    </w:p>
    <w:p w14:paraId="0770BAE9" w14:textId="77777777" w:rsidR="003A04EE" w:rsidRDefault="003A04EE" w:rsidP="00F61C5C">
      <w:pPr>
        <w:suppressAutoHyphens w:val="0"/>
        <w:rPr>
          <w:sz w:val="24"/>
          <w:lang w:val="en-GB" w:eastAsia="ja-JP"/>
        </w:rPr>
        <w:sectPr w:rsidR="003A04EE" w:rsidSect="003A04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BF3EBC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a.koning@iaea.org</w:t>
      </w:r>
    </w:p>
    <w:p w14:paraId="65D66DB7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abhihere@gmail.com</w:t>
      </w:r>
    </w:p>
    <w:p w14:paraId="6E3BE0E4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aloks279@gmail.com</w:t>
      </w:r>
    </w:p>
    <w:p w14:paraId="0A2F7BC0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cgc@ciae.ac.cn</w:t>
      </w:r>
    </w:p>
    <w:p w14:paraId="5AAB1E09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dbrown@bnl.gov</w:t>
      </w:r>
    </w:p>
    <w:p w14:paraId="71AC1C54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draj@barc.gov.in</w:t>
      </w:r>
    </w:p>
    <w:p w14:paraId="72C7B348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dvoytenkov@ippe.ru</w:t>
      </w:r>
    </w:p>
    <w:p w14:paraId="7235B93B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ebata@nucl.sci.hokudai.ac.jp</w:t>
      </w:r>
    </w:p>
    <w:p w14:paraId="120FF1D1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fukahori.tokio@jaea.go.jp</w:t>
      </w:r>
    </w:p>
    <w:p w14:paraId="08BC8944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ganesan555@gmail.com</w:t>
      </w:r>
    </w:p>
    <w:p w14:paraId="43EA9ADE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gezg@ciae.ac.cn</w:t>
      </w:r>
    </w:p>
    <w:p w14:paraId="1A441416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iwamoto.osamu@jaea.go.jp</w:t>
      </w:r>
    </w:p>
    <w:p w14:paraId="40C356E0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j.c.sublet@iaea.org</w:t>
      </w:r>
    </w:p>
    <w:p w14:paraId="20E8A2C6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jhchang@kaeri.re.kr</w:t>
      </w:r>
    </w:p>
    <w:p w14:paraId="17B93FC7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jmwang@ciae.ac.cn</w:t>
      </w:r>
    </w:p>
    <w:p w14:paraId="38D07176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kaltchenko@kinr.kiev.ua</w:t>
      </w:r>
    </w:p>
    <w:p w14:paraId="2F9D903D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jim.gulliford@oecd.org</w:t>
      </w:r>
    </w:p>
    <w:p w14:paraId="4AB33BDE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manuel.bossant@oecd.org</w:t>
      </w:r>
    </w:p>
    <w:p w14:paraId="590C86F8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marema08@gmail.com</w:t>
      </w:r>
    </w:p>
    <w:p w14:paraId="50A2B155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masaaki@nucl.sci.hokudai.ac.jp</w:t>
      </w:r>
    </w:p>
    <w:p w14:paraId="0C79F089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mmarina@ippe.ru</w:t>
      </w:r>
    </w:p>
    <w:p w14:paraId="3D0D6567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mwherman@bnl.gov</w:t>
      </w:r>
    </w:p>
    <w:p w14:paraId="45F7EBA5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nicolas.soppera@oecd.org</w:t>
      </w:r>
    </w:p>
    <w:p w14:paraId="531800DE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n.otsuka@iaea.org</w:t>
      </w:r>
    </w:p>
    <w:p w14:paraId="5AE61C03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nrdc@jcprg.org</w:t>
      </w:r>
    </w:p>
    <w:p w14:paraId="48CD9759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nurzat.kenzhebaev@gmail.com</w:t>
      </w:r>
    </w:p>
    <w:p w14:paraId="12341FA1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ogritzay@kinr.kiev.ua</w:t>
      </w:r>
    </w:p>
    <w:p w14:paraId="74AE2559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oscar.cabellos@oecd.org</w:t>
      </w:r>
    </w:p>
    <w:p w14:paraId="57DBBA92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otto.schwerer@aon.at</w:t>
      </w:r>
    </w:p>
    <w:p w14:paraId="23915AF7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pikulina@expd.vniief.ru</w:t>
      </w:r>
    </w:p>
    <w:p w14:paraId="1A5B8D19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pritychenko@bnl.gov</w:t>
      </w:r>
    </w:p>
    <w:p w14:paraId="4540C9FB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samaev@obninsk.ru</w:t>
      </w:r>
    </w:p>
    <w:p w14:paraId="61916A1D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sbabykina@yandex.ru</w:t>
      </w:r>
    </w:p>
    <w:p w14:paraId="22A0C2C3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scyang@kaeri.re.kr</w:t>
      </w:r>
    </w:p>
    <w:p w14:paraId="0C5C7FB8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selyankina@expd.vniief.ru</w:t>
      </w:r>
    </w:p>
    <w:p w14:paraId="539C7741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sonzogni@bnl.gov</w:t>
      </w:r>
    </w:p>
    <w:p w14:paraId="3497E868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stakacs@atomki.hu</w:t>
      </w:r>
    </w:p>
    <w:p w14:paraId="42BBB7EC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stanislav.hlavac@savba.sk</w:t>
      </w:r>
    </w:p>
    <w:p w14:paraId="368B9FEB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s.a.dunaeva@yandex.ru</w:t>
      </w:r>
    </w:p>
    <w:p w14:paraId="2582C347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sv.dunaeva@gmail.com</w:t>
      </w:r>
    </w:p>
    <w:p w14:paraId="248A4A85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taova@expd.vniief.ru</w:t>
      </w:r>
    </w:p>
    <w:p w14:paraId="68598DFB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tarkanyi@atomki.hu</w:t>
      </w:r>
    </w:p>
    <w:p w14:paraId="4EA8C2D4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vvvarlamov@gmail.com</w:t>
      </w:r>
    </w:p>
    <w:p w14:paraId="3B472764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v.semkova@iaea.org</w:t>
      </w:r>
    </w:p>
    <w:p w14:paraId="33BF0224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v.zerkin@iaea.org</w:t>
      </w:r>
    </w:p>
    <w:p w14:paraId="41C1FE9D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yolee@kaeri.re.kr</w:t>
      </w:r>
    </w:p>
    <w:p w14:paraId="4A519737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zholdybayev@inp.kz</w:t>
      </w:r>
    </w:p>
    <w:p w14:paraId="3722EC14" w14:textId="77777777" w:rsidR="00F61C5C" w:rsidRPr="00F61C5C" w:rsidRDefault="00F61C5C" w:rsidP="00F61C5C">
      <w:pPr>
        <w:suppressAutoHyphens w:val="0"/>
        <w:rPr>
          <w:b/>
          <w:sz w:val="24"/>
          <w:szCs w:val="24"/>
          <w:lang w:val="en-GB" w:eastAsia="ja-JP"/>
        </w:rPr>
      </w:pPr>
      <w:r w:rsidRPr="00F61C5C">
        <w:rPr>
          <w:sz w:val="24"/>
          <w:lang w:val="en-GB" w:eastAsia="ja-JP"/>
        </w:rPr>
        <w:t>zhuangyx@ciae.ac.cn</w:t>
      </w:r>
    </w:p>
    <w:p w14:paraId="51C77F99" w14:textId="77777777" w:rsidR="00F61C5C" w:rsidRPr="00F61C5C" w:rsidRDefault="00F61C5C" w:rsidP="00F61C5C">
      <w:pPr>
        <w:suppressAutoHyphens w:val="0"/>
        <w:jc w:val="center"/>
        <w:rPr>
          <w:b/>
          <w:u w:val="single"/>
          <w:lang w:val="en-GB" w:eastAsia="en-GB"/>
        </w:rPr>
        <w:sectPr w:rsidR="00F61C5C" w:rsidRPr="00F61C5C" w:rsidSect="003A04E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D770398" w14:textId="77777777" w:rsidR="00F61C5C" w:rsidRDefault="00F61C5C" w:rsidP="00F61C5C">
      <w:pPr>
        <w:suppressAutoHyphens w:val="0"/>
        <w:rPr>
          <w:b/>
          <w:u w:val="single"/>
          <w:lang w:val="en-GB" w:eastAsia="en-GB"/>
        </w:rPr>
      </w:pPr>
    </w:p>
    <w:p w14:paraId="09D1D775" w14:textId="77777777" w:rsidR="00682F12" w:rsidRPr="00682F12" w:rsidRDefault="00682F12" w:rsidP="00F61C5C">
      <w:pPr>
        <w:suppressAutoHyphens w:val="0"/>
        <w:rPr>
          <w:b/>
          <w:sz w:val="24"/>
          <w:szCs w:val="24"/>
          <w:lang w:val="en-GB" w:eastAsia="en-GB"/>
        </w:rPr>
      </w:pPr>
      <w:r w:rsidRPr="00682F12">
        <w:rPr>
          <w:b/>
          <w:sz w:val="24"/>
          <w:szCs w:val="24"/>
          <w:lang w:val="en-GB" w:eastAsia="en-GB"/>
        </w:rPr>
        <w:t>cc:</w:t>
      </w:r>
    </w:p>
    <w:p w14:paraId="52435315" w14:textId="77777777" w:rsidR="00682F12" w:rsidRPr="00682F12" w:rsidRDefault="00682F12" w:rsidP="00F61C5C">
      <w:pPr>
        <w:suppressAutoHyphens w:val="0"/>
        <w:rPr>
          <w:sz w:val="24"/>
          <w:szCs w:val="24"/>
          <w:lang w:val="en-GB" w:eastAsia="en-GB"/>
        </w:rPr>
      </w:pPr>
      <w:r w:rsidRPr="00682F12">
        <w:rPr>
          <w:sz w:val="24"/>
          <w:szCs w:val="24"/>
          <w:lang w:val="en-GB" w:eastAsia="en-GB"/>
        </w:rPr>
        <w:t>frank.gunsing@cea.fr</w:t>
      </w:r>
    </w:p>
    <w:p w14:paraId="7BD73394" w14:textId="77777777" w:rsidR="00682F12" w:rsidRPr="00F61C5C" w:rsidRDefault="00682F12" w:rsidP="00F61C5C">
      <w:pPr>
        <w:suppressAutoHyphens w:val="0"/>
        <w:rPr>
          <w:b/>
          <w:u w:val="single"/>
          <w:lang w:val="en-GB" w:eastAsia="en-GB"/>
        </w:rPr>
      </w:pPr>
    </w:p>
    <w:p w14:paraId="09E2A4A3" w14:textId="77777777" w:rsidR="00F61C5C" w:rsidRDefault="00F61C5C" w:rsidP="00F61C5C">
      <w:pPr>
        <w:sectPr w:rsidR="00F61C5C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</w:sectPr>
      </w:pPr>
    </w:p>
    <w:p w14:paraId="56D2BC08" w14:textId="77777777" w:rsidR="00BC3663" w:rsidRDefault="00BC3663" w:rsidP="00F61C5C"/>
    <w:sectPr w:rsidR="00BC3663">
      <w:type w:val="continuous"/>
      <w:pgSz w:w="11906" w:h="16838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A97"/>
    <w:multiLevelType w:val="hybridMultilevel"/>
    <w:tmpl w:val="CDB4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7A4F"/>
    <w:multiLevelType w:val="hybridMultilevel"/>
    <w:tmpl w:val="D764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32254"/>
    <w:multiLevelType w:val="multilevel"/>
    <w:tmpl w:val="4C049E5E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3">
    <w:nsid w:val="3CD453FC"/>
    <w:multiLevelType w:val="hybridMultilevel"/>
    <w:tmpl w:val="C8DAFDA2"/>
    <w:lvl w:ilvl="0" w:tplc="13E0D83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39D4"/>
    <w:multiLevelType w:val="hybridMultilevel"/>
    <w:tmpl w:val="4FB2F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53ECF"/>
    <w:multiLevelType w:val="multilevel"/>
    <w:tmpl w:val="B3EC1A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637975FF"/>
    <w:multiLevelType w:val="hybridMultilevel"/>
    <w:tmpl w:val="FB42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C115F"/>
    <w:multiLevelType w:val="hybridMultilevel"/>
    <w:tmpl w:val="218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26211"/>
    <w:multiLevelType w:val="multilevel"/>
    <w:tmpl w:val="E35A8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7FED0ABB"/>
    <w:multiLevelType w:val="hybridMultilevel"/>
    <w:tmpl w:val="A50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68"/>
    <w:rsid w:val="00002C92"/>
    <w:rsid w:val="0003040F"/>
    <w:rsid w:val="00096DC0"/>
    <w:rsid w:val="000E2C25"/>
    <w:rsid w:val="000F1FFA"/>
    <w:rsid w:val="0013254B"/>
    <w:rsid w:val="0023413C"/>
    <w:rsid w:val="002A392D"/>
    <w:rsid w:val="002E7BDC"/>
    <w:rsid w:val="00305FFC"/>
    <w:rsid w:val="00344C90"/>
    <w:rsid w:val="00356148"/>
    <w:rsid w:val="00371D2E"/>
    <w:rsid w:val="00376CCB"/>
    <w:rsid w:val="003A04EE"/>
    <w:rsid w:val="004115E7"/>
    <w:rsid w:val="00434699"/>
    <w:rsid w:val="00456835"/>
    <w:rsid w:val="0046049E"/>
    <w:rsid w:val="0058007B"/>
    <w:rsid w:val="0058545C"/>
    <w:rsid w:val="00633B8C"/>
    <w:rsid w:val="00660365"/>
    <w:rsid w:val="00682F12"/>
    <w:rsid w:val="00691497"/>
    <w:rsid w:val="00694096"/>
    <w:rsid w:val="006A5559"/>
    <w:rsid w:val="00706BB0"/>
    <w:rsid w:val="00707049"/>
    <w:rsid w:val="00724E18"/>
    <w:rsid w:val="00781568"/>
    <w:rsid w:val="008738B1"/>
    <w:rsid w:val="008C28B8"/>
    <w:rsid w:val="009350DB"/>
    <w:rsid w:val="00986B31"/>
    <w:rsid w:val="009A3B1D"/>
    <w:rsid w:val="009E3D75"/>
    <w:rsid w:val="009F2497"/>
    <w:rsid w:val="009F58DD"/>
    <w:rsid w:val="00A320AB"/>
    <w:rsid w:val="00A34F5C"/>
    <w:rsid w:val="00A824A4"/>
    <w:rsid w:val="00AD319A"/>
    <w:rsid w:val="00AE6E06"/>
    <w:rsid w:val="00B12B7E"/>
    <w:rsid w:val="00B37157"/>
    <w:rsid w:val="00BA3034"/>
    <w:rsid w:val="00BA4D57"/>
    <w:rsid w:val="00BC3663"/>
    <w:rsid w:val="00BC5053"/>
    <w:rsid w:val="00BE27AB"/>
    <w:rsid w:val="00C759DF"/>
    <w:rsid w:val="00CA6FC1"/>
    <w:rsid w:val="00D41AE2"/>
    <w:rsid w:val="00D701AF"/>
    <w:rsid w:val="00D83DC9"/>
    <w:rsid w:val="00DD6FE8"/>
    <w:rsid w:val="00E56E0C"/>
    <w:rsid w:val="00E62D0F"/>
    <w:rsid w:val="00E73CCF"/>
    <w:rsid w:val="00EA2D20"/>
    <w:rsid w:val="00EA43FE"/>
    <w:rsid w:val="00EE145B"/>
    <w:rsid w:val="00F1578A"/>
    <w:rsid w:val="00F61C5C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EA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lang w:val="en-US" w:eastAsia="en-GB"/>
    </w:rPr>
  </w:style>
  <w:style w:type="character" w:customStyle="1" w:styleId="FooterChar">
    <w:name w:val="Footer Char"/>
    <w:rPr>
      <w:lang w:val="en-US" w:eastAsia="en-GB"/>
    </w:rPr>
  </w:style>
  <w:style w:type="character" w:customStyle="1" w:styleId="PlainTextChar">
    <w:name w:val="Plain Text Char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Pr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uiPriority w:val="34"/>
    <w:qFormat/>
    <w:pPr>
      <w:ind w:left="567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Pr>
      <w:rFonts w:ascii="Courier New" w:hAnsi="Courier New"/>
      <w:lang w:eastAsia="en-US"/>
    </w:rPr>
  </w:style>
  <w:style w:type="paragraph" w:styleId="FootnoteText">
    <w:name w:val="footnote text"/>
    <w:basedOn w:val="Standard"/>
    <w:rPr>
      <w:lang w:eastAsia="en-US"/>
    </w:rPr>
  </w:style>
  <w:style w:type="paragraph" w:styleId="NormalWeb">
    <w:name w:val="Normal (Web)"/>
    <w:basedOn w:val="Standard"/>
    <w:pPr>
      <w:spacing w:before="28" w:after="119"/>
    </w:pPr>
    <w:rPr>
      <w:rFonts w:eastAsia="Times New Roman"/>
      <w:lang w:val="de-AT" w:eastAsia="de-AT"/>
    </w:rPr>
  </w:style>
  <w:style w:type="table" w:styleId="TableGrid">
    <w:name w:val="Table Grid"/>
    <w:basedOn w:val="TableNormal"/>
    <w:uiPriority w:val="59"/>
    <w:rsid w:val="003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7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75"/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0304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lang w:val="en-US" w:eastAsia="en-GB"/>
    </w:rPr>
  </w:style>
  <w:style w:type="character" w:customStyle="1" w:styleId="FooterChar">
    <w:name w:val="Footer Char"/>
    <w:rPr>
      <w:lang w:val="en-US" w:eastAsia="en-GB"/>
    </w:rPr>
  </w:style>
  <w:style w:type="character" w:customStyle="1" w:styleId="PlainTextChar">
    <w:name w:val="Plain Text Char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Pr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uiPriority w:val="34"/>
    <w:qFormat/>
    <w:pPr>
      <w:ind w:left="567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Pr>
      <w:rFonts w:ascii="Courier New" w:hAnsi="Courier New"/>
      <w:lang w:eastAsia="en-US"/>
    </w:rPr>
  </w:style>
  <w:style w:type="paragraph" w:styleId="FootnoteText">
    <w:name w:val="footnote text"/>
    <w:basedOn w:val="Standard"/>
    <w:rPr>
      <w:lang w:eastAsia="en-US"/>
    </w:rPr>
  </w:style>
  <w:style w:type="paragraph" w:styleId="NormalWeb">
    <w:name w:val="Normal (Web)"/>
    <w:basedOn w:val="Standard"/>
    <w:pPr>
      <w:spacing w:before="28" w:after="119"/>
    </w:pPr>
    <w:rPr>
      <w:rFonts w:eastAsia="Times New Roman"/>
      <w:lang w:val="de-AT" w:eastAsia="de-AT"/>
    </w:rPr>
  </w:style>
  <w:style w:type="table" w:styleId="TableGrid">
    <w:name w:val="Table Grid"/>
    <w:basedOn w:val="TableNormal"/>
    <w:uiPriority w:val="59"/>
    <w:rsid w:val="003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7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75"/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0304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0870-C1F3-470E-98D6-AF772805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Data Section</vt:lpstr>
    </vt:vector>
  </TitlesOfParts>
  <Company>IAEA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14</cp:revision>
  <cp:lastPrinted>2017-02-22T13:22:00Z</cp:lastPrinted>
  <dcterms:created xsi:type="dcterms:W3CDTF">2017-04-30T22:58:00Z</dcterms:created>
  <dcterms:modified xsi:type="dcterms:W3CDTF">2017-05-09T11:48:00Z</dcterms:modified>
</cp:coreProperties>
</file>