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2" w:rsidRPr="000C1535" w:rsidRDefault="00CF1312" w:rsidP="00CF1312">
      <w:pPr>
        <w:jc w:val="center"/>
        <w:rPr>
          <w:b/>
          <w:sz w:val="24"/>
          <w:szCs w:val="24"/>
          <w:lang w:val="en-GB"/>
        </w:rPr>
      </w:pPr>
      <w:r w:rsidRPr="000C1535">
        <w:rPr>
          <w:b/>
          <w:sz w:val="24"/>
          <w:szCs w:val="24"/>
          <w:lang w:val="en-GB"/>
        </w:rPr>
        <w:t>Nuclear Data Section</w:t>
      </w:r>
    </w:p>
    <w:p w:rsidR="00CF1312" w:rsidRPr="000C1535" w:rsidRDefault="00CF1312" w:rsidP="00CF1312">
      <w:pPr>
        <w:jc w:val="center"/>
        <w:rPr>
          <w:b/>
          <w:sz w:val="24"/>
          <w:szCs w:val="24"/>
          <w:lang w:val="en-GB"/>
        </w:rPr>
      </w:pPr>
      <w:r w:rsidRPr="000C1535">
        <w:rPr>
          <w:b/>
          <w:sz w:val="24"/>
          <w:szCs w:val="24"/>
          <w:lang w:val="en-GB"/>
        </w:rPr>
        <w:t>International Atomic Energy Agency</w:t>
      </w:r>
    </w:p>
    <w:p w:rsidR="00CF1312" w:rsidRPr="000C1535" w:rsidRDefault="00CF1312" w:rsidP="00CF1312">
      <w:pPr>
        <w:jc w:val="center"/>
        <w:rPr>
          <w:b/>
          <w:sz w:val="24"/>
          <w:szCs w:val="24"/>
          <w:lang w:val="en-GB"/>
        </w:rPr>
      </w:pPr>
      <w:proofErr w:type="spellStart"/>
      <w:r w:rsidRPr="000C1535">
        <w:rPr>
          <w:b/>
          <w:sz w:val="24"/>
          <w:szCs w:val="24"/>
          <w:lang w:val="en-GB"/>
        </w:rPr>
        <w:t>P.O.Box</w:t>
      </w:r>
      <w:proofErr w:type="spellEnd"/>
      <w:r w:rsidRPr="000C1535">
        <w:rPr>
          <w:b/>
          <w:sz w:val="24"/>
          <w:szCs w:val="24"/>
          <w:lang w:val="en-GB"/>
        </w:rPr>
        <w:t xml:space="preserve"> 100, A-1400 Vienna, Austria</w:t>
      </w:r>
    </w:p>
    <w:p w:rsidR="00CF1312" w:rsidRPr="000C1535" w:rsidRDefault="00CF1312" w:rsidP="00CF1312">
      <w:pPr>
        <w:jc w:val="center"/>
        <w:rPr>
          <w:b/>
          <w:sz w:val="24"/>
          <w:szCs w:val="24"/>
          <w:u w:val="single"/>
          <w:lang w:val="en-GB"/>
        </w:rPr>
      </w:pPr>
    </w:p>
    <w:p w:rsidR="00CF1312" w:rsidRPr="000C1535" w:rsidRDefault="00CF1312" w:rsidP="00CF1312">
      <w:pPr>
        <w:jc w:val="center"/>
        <w:rPr>
          <w:b/>
          <w:sz w:val="24"/>
          <w:szCs w:val="24"/>
          <w:u w:val="single"/>
          <w:lang w:val="en-GB" w:eastAsia="ja-JP"/>
        </w:rPr>
      </w:pPr>
      <w:r w:rsidRPr="000C1535">
        <w:rPr>
          <w:b/>
          <w:sz w:val="24"/>
          <w:szCs w:val="24"/>
          <w:u w:val="single"/>
          <w:lang w:val="en-GB"/>
        </w:rPr>
        <w:t>Memo CP-D/</w:t>
      </w:r>
      <w:r w:rsidR="00843CFF" w:rsidRPr="000C1535">
        <w:rPr>
          <w:b/>
          <w:sz w:val="24"/>
          <w:szCs w:val="24"/>
          <w:u w:val="single"/>
          <w:lang w:val="en-GB" w:eastAsia="ja-JP"/>
        </w:rPr>
        <w:t>9</w:t>
      </w:r>
      <w:r w:rsidR="00902FB7">
        <w:rPr>
          <w:b/>
          <w:sz w:val="24"/>
          <w:szCs w:val="24"/>
          <w:u w:val="single"/>
          <w:lang w:val="en-GB" w:eastAsia="ja-JP"/>
        </w:rPr>
        <w:t>34</w:t>
      </w:r>
    </w:p>
    <w:p w:rsidR="00CF1312" w:rsidRPr="000C1535" w:rsidRDefault="00CF1312" w:rsidP="00CF1312">
      <w:pPr>
        <w:jc w:val="both"/>
        <w:rPr>
          <w:sz w:val="24"/>
          <w:szCs w:val="24"/>
          <w:lang w:val="en-GB"/>
        </w:rPr>
      </w:pPr>
    </w:p>
    <w:p w:rsidR="00CF1312" w:rsidRPr="000C1535" w:rsidRDefault="00CF1312" w:rsidP="004F64F3">
      <w:pPr>
        <w:tabs>
          <w:tab w:val="left" w:pos="993"/>
        </w:tabs>
        <w:spacing w:after="60"/>
        <w:jc w:val="both"/>
        <w:rPr>
          <w:sz w:val="24"/>
          <w:szCs w:val="24"/>
          <w:lang w:val="en-GB"/>
        </w:rPr>
      </w:pPr>
      <w:r w:rsidRPr="000C1535">
        <w:rPr>
          <w:b/>
          <w:sz w:val="24"/>
          <w:szCs w:val="24"/>
          <w:lang w:val="en-GB"/>
        </w:rPr>
        <w:t>Date:</w:t>
      </w:r>
      <w:r w:rsidRPr="000C1535">
        <w:rPr>
          <w:sz w:val="24"/>
          <w:szCs w:val="24"/>
          <w:lang w:val="en-GB"/>
        </w:rPr>
        <w:tab/>
      </w:r>
      <w:r w:rsidRPr="000C1535">
        <w:rPr>
          <w:sz w:val="24"/>
          <w:szCs w:val="24"/>
          <w:lang w:val="en-GB"/>
        </w:rPr>
        <w:tab/>
      </w:r>
      <w:r w:rsidR="000C1535" w:rsidRPr="000C1535">
        <w:rPr>
          <w:sz w:val="24"/>
          <w:szCs w:val="24"/>
          <w:lang w:val="en-GB"/>
        </w:rPr>
        <w:t>31</w:t>
      </w:r>
      <w:r w:rsidR="00763276" w:rsidRPr="000C1535">
        <w:rPr>
          <w:sz w:val="24"/>
          <w:szCs w:val="24"/>
          <w:lang w:val="en-GB"/>
        </w:rPr>
        <w:t xml:space="preserve"> </w:t>
      </w:r>
      <w:r w:rsidR="0086045B" w:rsidRPr="000C1535">
        <w:rPr>
          <w:sz w:val="24"/>
          <w:szCs w:val="24"/>
          <w:lang w:val="en-GB"/>
        </w:rPr>
        <w:t>May</w:t>
      </w:r>
      <w:r w:rsidR="006C7E95" w:rsidRPr="000C1535">
        <w:rPr>
          <w:sz w:val="24"/>
          <w:szCs w:val="24"/>
          <w:lang w:val="en-GB"/>
        </w:rPr>
        <w:t xml:space="preserve"> 201</w:t>
      </w:r>
      <w:r w:rsidR="00763276" w:rsidRPr="000C1535">
        <w:rPr>
          <w:sz w:val="24"/>
          <w:szCs w:val="24"/>
          <w:lang w:val="en-GB"/>
        </w:rPr>
        <w:t>7</w:t>
      </w:r>
    </w:p>
    <w:p w:rsidR="00CF1312" w:rsidRPr="000C1535" w:rsidRDefault="00CF1312" w:rsidP="00CF1312">
      <w:pPr>
        <w:tabs>
          <w:tab w:val="left" w:pos="993"/>
        </w:tabs>
        <w:spacing w:after="60"/>
        <w:jc w:val="both"/>
        <w:rPr>
          <w:sz w:val="24"/>
          <w:szCs w:val="24"/>
          <w:lang w:val="en-GB"/>
        </w:rPr>
      </w:pPr>
      <w:r w:rsidRPr="000C1535">
        <w:rPr>
          <w:b/>
          <w:sz w:val="24"/>
          <w:szCs w:val="24"/>
          <w:lang w:val="en-GB"/>
        </w:rPr>
        <w:t>To:</w:t>
      </w:r>
      <w:r w:rsidRPr="000C1535">
        <w:rPr>
          <w:sz w:val="24"/>
          <w:szCs w:val="24"/>
          <w:lang w:val="en-GB"/>
        </w:rPr>
        <w:tab/>
      </w:r>
      <w:r w:rsidRPr="000C1535">
        <w:rPr>
          <w:sz w:val="24"/>
          <w:szCs w:val="24"/>
          <w:lang w:val="en-GB"/>
        </w:rPr>
        <w:tab/>
        <w:t>Distribution</w:t>
      </w:r>
    </w:p>
    <w:p w:rsidR="0011504C" w:rsidRPr="000C1535" w:rsidRDefault="00CF1312" w:rsidP="00CF1312">
      <w:pPr>
        <w:rPr>
          <w:snapToGrid w:val="0"/>
          <w:sz w:val="24"/>
          <w:szCs w:val="24"/>
          <w:lang w:val="en-GB" w:eastAsia="ja-JP"/>
        </w:rPr>
      </w:pPr>
      <w:r w:rsidRPr="000C1535">
        <w:rPr>
          <w:b/>
          <w:snapToGrid w:val="0"/>
          <w:sz w:val="24"/>
          <w:szCs w:val="24"/>
          <w:lang w:val="en-GB"/>
        </w:rPr>
        <w:t>From:</w:t>
      </w:r>
      <w:r w:rsidRPr="000C1535">
        <w:rPr>
          <w:snapToGrid w:val="0"/>
          <w:sz w:val="24"/>
          <w:szCs w:val="24"/>
          <w:lang w:val="en-GB"/>
        </w:rPr>
        <w:tab/>
      </w:r>
      <w:r w:rsidRPr="000C1535">
        <w:rPr>
          <w:snapToGrid w:val="0"/>
          <w:sz w:val="24"/>
          <w:szCs w:val="24"/>
          <w:lang w:val="en-GB"/>
        </w:rPr>
        <w:tab/>
      </w:r>
      <w:r w:rsidR="00977FE7" w:rsidRPr="000C1535">
        <w:rPr>
          <w:snapToGrid w:val="0"/>
          <w:sz w:val="24"/>
          <w:szCs w:val="24"/>
          <w:lang w:val="en-GB" w:eastAsia="ja-JP"/>
        </w:rPr>
        <w:t>N. Otsuka</w:t>
      </w:r>
    </w:p>
    <w:p w:rsidR="00C327F9" w:rsidRPr="000C1535" w:rsidRDefault="00C327F9" w:rsidP="00CF1312">
      <w:pPr>
        <w:tabs>
          <w:tab w:val="left" w:pos="993"/>
        </w:tabs>
        <w:rPr>
          <w:b/>
          <w:snapToGrid w:val="0"/>
          <w:sz w:val="24"/>
          <w:szCs w:val="24"/>
          <w:lang w:val="en-GB" w:eastAsia="ja-JP"/>
        </w:rPr>
      </w:pPr>
    </w:p>
    <w:p w:rsidR="00CF1312" w:rsidRPr="000C1535" w:rsidRDefault="00CF1312" w:rsidP="00977FE7">
      <w:pPr>
        <w:tabs>
          <w:tab w:val="left" w:pos="993"/>
        </w:tabs>
        <w:spacing w:after="60"/>
        <w:jc w:val="both"/>
        <w:rPr>
          <w:b/>
          <w:sz w:val="24"/>
          <w:szCs w:val="24"/>
          <w:lang w:val="en-GB"/>
        </w:rPr>
      </w:pPr>
      <w:r w:rsidRPr="000C1535">
        <w:rPr>
          <w:b/>
          <w:sz w:val="24"/>
          <w:szCs w:val="24"/>
          <w:lang w:val="en-GB"/>
        </w:rPr>
        <w:t>Subject:</w:t>
      </w:r>
      <w:r w:rsidRPr="000C1535">
        <w:rPr>
          <w:b/>
          <w:sz w:val="24"/>
          <w:szCs w:val="24"/>
          <w:lang w:val="en-GB"/>
        </w:rPr>
        <w:tab/>
      </w:r>
      <w:r w:rsidRPr="000C1535">
        <w:rPr>
          <w:b/>
          <w:sz w:val="24"/>
          <w:szCs w:val="24"/>
          <w:lang w:val="en-GB"/>
        </w:rPr>
        <w:tab/>
      </w:r>
      <w:r w:rsidR="000C1535" w:rsidRPr="000C1535">
        <w:rPr>
          <w:b/>
          <w:sz w:val="24"/>
          <w:szCs w:val="24"/>
          <w:lang w:val="en-GB"/>
        </w:rPr>
        <w:t>NRDC2017 – Conclusions and Actions</w:t>
      </w:r>
    </w:p>
    <w:p w:rsidR="000C1535" w:rsidRPr="000C1535" w:rsidRDefault="000C1535" w:rsidP="000C1535">
      <w:pPr>
        <w:autoSpaceDE w:val="0"/>
        <w:autoSpaceDN w:val="0"/>
        <w:adjustRightInd w:val="0"/>
        <w:jc w:val="both"/>
        <w:rPr>
          <w:b/>
          <w:sz w:val="24"/>
          <w:szCs w:val="24"/>
          <w:lang w:val="en-GB" w:eastAsia="ja-JP"/>
        </w:rPr>
      </w:pPr>
    </w:p>
    <w:p w:rsidR="000C1535" w:rsidRPr="000C1535" w:rsidRDefault="000C1535" w:rsidP="000C1535">
      <w:pPr>
        <w:suppressAutoHyphens/>
        <w:spacing w:before="120"/>
        <w:jc w:val="both"/>
        <w:rPr>
          <w:rFonts w:eastAsia="Times New Roman"/>
          <w:sz w:val="24"/>
          <w:lang w:val="en-GB" w:eastAsia="ar-SA"/>
        </w:rPr>
      </w:pPr>
      <w:r w:rsidRPr="000C1535">
        <w:rPr>
          <w:rFonts w:eastAsia="Times New Roman"/>
          <w:sz w:val="24"/>
          <w:lang w:val="en-GB" w:eastAsia="ar-SA"/>
        </w:rPr>
        <w:t>Draft</w:t>
      </w:r>
      <w:r>
        <w:rPr>
          <w:rFonts w:eastAsia="Times New Roman"/>
          <w:sz w:val="24"/>
          <w:lang w:val="en-GB" w:eastAsia="ar-SA"/>
        </w:rPr>
        <w:t>s</w:t>
      </w:r>
      <w:r w:rsidRPr="000C1535">
        <w:rPr>
          <w:rFonts w:eastAsia="Times New Roman"/>
          <w:sz w:val="24"/>
          <w:lang w:val="en-GB" w:eastAsia="ar-SA"/>
        </w:rPr>
        <w:t xml:space="preserve"> of Conclusions and Actions of the 2017 NRDC meeting are appended to this memo. Please give your </w:t>
      </w:r>
      <w:r w:rsidRPr="000C1535">
        <w:rPr>
          <w:sz w:val="24"/>
          <w:lang w:val="en-GB" w:eastAsia="ja-JP"/>
        </w:rPr>
        <w:t xml:space="preserve">comments </w:t>
      </w:r>
      <w:r w:rsidRPr="000C1535">
        <w:rPr>
          <w:rFonts w:eastAsia="Times New Roman"/>
          <w:sz w:val="24"/>
          <w:lang w:val="en-GB" w:eastAsia="ar-SA"/>
        </w:rPr>
        <w:t>by 31 June 2017.</w:t>
      </w:r>
    </w:p>
    <w:p w:rsidR="000C1535" w:rsidRPr="000C1535" w:rsidRDefault="00D87763" w:rsidP="000C1535">
      <w:pPr>
        <w:suppressAutoHyphens/>
        <w:spacing w:before="120"/>
        <w:jc w:val="both"/>
        <w:rPr>
          <w:rFonts w:eastAsia="Times New Roman"/>
          <w:sz w:val="24"/>
          <w:lang w:val="en-GB" w:eastAsia="ar-SA"/>
        </w:rPr>
      </w:pPr>
      <w:r>
        <w:rPr>
          <w:rFonts w:eastAsia="Times New Roman"/>
          <w:sz w:val="24"/>
          <w:lang w:val="en-GB" w:eastAsia="ar-SA"/>
        </w:rPr>
        <w:t xml:space="preserve">The following </w:t>
      </w:r>
      <w:r w:rsidR="000C1535" w:rsidRPr="000C1535">
        <w:rPr>
          <w:rFonts w:eastAsia="Times New Roman"/>
          <w:sz w:val="24"/>
          <w:lang w:val="en-GB" w:eastAsia="ar-SA"/>
        </w:rPr>
        <w:t>major changes were introduced after the meeting</w:t>
      </w:r>
      <w:r>
        <w:rPr>
          <w:rFonts w:eastAsia="Times New Roman"/>
          <w:sz w:val="24"/>
          <w:lang w:val="en-GB" w:eastAsia="ar-SA"/>
        </w:rPr>
        <w:t>:</w:t>
      </w:r>
    </w:p>
    <w:p w:rsidR="000C1535" w:rsidRDefault="000C1535" w:rsidP="000C1535">
      <w:pPr>
        <w:pStyle w:val="ListParagraph"/>
        <w:numPr>
          <w:ilvl w:val="0"/>
          <w:numId w:val="50"/>
        </w:numPr>
        <w:suppressAutoHyphens/>
        <w:spacing w:before="120"/>
        <w:jc w:val="both"/>
        <w:rPr>
          <w:rFonts w:eastAsia="Times New Roman"/>
          <w:sz w:val="24"/>
          <w:lang w:val="en-GB" w:eastAsia="ar-SA"/>
        </w:rPr>
      </w:pPr>
      <w:r>
        <w:rPr>
          <w:rFonts w:eastAsia="Times New Roman"/>
          <w:sz w:val="24"/>
          <w:lang w:val="en-GB" w:eastAsia="ar-SA"/>
        </w:rPr>
        <w:t>One conclusion was added to express our a</w:t>
      </w:r>
      <w:r w:rsidRPr="000C1535">
        <w:rPr>
          <w:rFonts w:eastAsia="Times New Roman"/>
          <w:sz w:val="24"/>
          <w:lang w:val="en-GB" w:eastAsia="ar-SA"/>
        </w:rPr>
        <w:t>cknowledgement to CNPD’s contribution to NRDC for 20 years</w:t>
      </w:r>
      <w:r w:rsidR="00D87763">
        <w:rPr>
          <w:rFonts w:eastAsia="Times New Roman"/>
          <w:sz w:val="24"/>
          <w:lang w:val="en-GB" w:eastAsia="ar-SA"/>
        </w:rPr>
        <w:t xml:space="preserve"> (proposed by CNPD)</w:t>
      </w:r>
      <w:r w:rsidRPr="000C1535">
        <w:rPr>
          <w:rFonts w:eastAsia="Times New Roman"/>
          <w:sz w:val="24"/>
          <w:lang w:val="en-GB" w:eastAsia="ar-SA"/>
        </w:rPr>
        <w:t>.</w:t>
      </w:r>
    </w:p>
    <w:p w:rsidR="00D87763" w:rsidRPr="000C1535" w:rsidRDefault="00D87763" w:rsidP="000C1535">
      <w:pPr>
        <w:pStyle w:val="ListParagraph"/>
        <w:numPr>
          <w:ilvl w:val="0"/>
          <w:numId w:val="50"/>
        </w:numPr>
        <w:suppressAutoHyphens/>
        <w:spacing w:before="120"/>
        <w:jc w:val="both"/>
        <w:rPr>
          <w:rFonts w:eastAsia="Times New Roman"/>
          <w:sz w:val="24"/>
          <w:lang w:val="en-GB" w:eastAsia="ar-SA"/>
        </w:rPr>
      </w:pPr>
      <w:r>
        <w:rPr>
          <w:rFonts w:eastAsia="Times New Roman"/>
          <w:sz w:val="24"/>
          <w:lang w:val="en-GB" w:eastAsia="ar-SA"/>
        </w:rPr>
        <w:t>One action to all (compilation of articles in NSR but not in EXFOR) was changed to another action to Valentina (submit the final version of the article list).</w:t>
      </w:r>
    </w:p>
    <w:p w:rsidR="000C1535" w:rsidRPr="000C1535" w:rsidRDefault="000C1535" w:rsidP="000C1535">
      <w:pPr>
        <w:pStyle w:val="ListParagraph"/>
        <w:numPr>
          <w:ilvl w:val="0"/>
          <w:numId w:val="50"/>
        </w:numPr>
        <w:suppressAutoHyphens/>
        <w:spacing w:before="120"/>
        <w:jc w:val="both"/>
        <w:rPr>
          <w:rFonts w:eastAsia="Times New Roman"/>
          <w:sz w:val="24"/>
          <w:lang w:val="en-GB" w:eastAsia="ar-SA"/>
        </w:rPr>
      </w:pPr>
      <w:r>
        <w:rPr>
          <w:rFonts w:eastAsia="Times New Roman"/>
          <w:sz w:val="24"/>
          <w:lang w:val="en-GB" w:eastAsia="ar-SA"/>
        </w:rPr>
        <w:t>One a</w:t>
      </w:r>
      <w:r w:rsidRPr="000C1535">
        <w:rPr>
          <w:rFonts w:eastAsia="Times New Roman"/>
          <w:sz w:val="24"/>
          <w:lang w:val="en-GB" w:eastAsia="ar-SA"/>
        </w:rPr>
        <w:t xml:space="preserve">ction to me (addition of WP2017-32 to the Feedback List) was deleted because it </w:t>
      </w:r>
      <w:r w:rsidR="00015571">
        <w:rPr>
          <w:rFonts w:eastAsia="Times New Roman"/>
          <w:sz w:val="24"/>
          <w:lang w:val="en-GB" w:eastAsia="ar-SA"/>
        </w:rPr>
        <w:t>was</w:t>
      </w:r>
      <w:r w:rsidRPr="000C1535">
        <w:rPr>
          <w:rFonts w:eastAsia="Times New Roman"/>
          <w:sz w:val="24"/>
          <w:lang w:val="en-GB" w:eastAsia="ar-SA"/>
        </w:rPr>
        <w:t xml:space="preserve"> done</w:t>
      </w:r>
      <w:r w:rsidR="00015571">
        <w:rPr>
          <w:rFonts w:eastAsia="Times New Roman"/>
          <w:sz w:val="24"/>
          <w:lang w:val="en-GB" w:eastAsia="ar-SA"/>
        </w:rPr>
        <w:t xml:space="preserve"> before the meeting</w:t>
      </w:r>
      <w:r w:rsidRPr="000C1535">
        <w:rPr>
          <w:rFonts w:eastAsia="Times New Roman"/>
          <w:sz w:val="24"/>
          <w:lang w:val="en-GB" w:eastAsia="ar-SA"/>
        </w:rPr>
        <w:t>.</w:t>
      </w:r>
    </w:p>
    <w:p w:rsidR="000C1535" w:rsidRPr="000C1535" w:rsidRDefault="000C1535" w:rsidP="000C1535">
      <w:pPr>
        <w:pStyle w:val="ListParagraph"/>
        <w:numPr>
          <w:ilvl w:val="0"/>
          <w:numId w:val="50"/>
        </w:numPr>
        <w:suppressAutoHyphens/>
        <w:spacing w:before="120"/>
        <w:jc w:val="both"/>
        <w:rPr>
          <w:rFonts w:eastAsia="Times New Roman"/>
          <w:sz w:val="24"/>
          <w:lang w:val="en-GB" w:eastAsia="ar-SA"/>
        </w:rPr>
      </w:pPr>
      <w:r>
        <w:rPr>
          <w:rFonts w:eastAsia="Times New Roman"/>
          <w:sz w:val="24"/>
          <w:lang w:val="en-GB" w:eastAsia="ar-SA"/>
        </w:rPr>
        <w:t>One a</w:t>
      </w:r>
      <w:r w:rsidRPr="000C1535">
        <w:rPr>
          <w:rFonts w:eastAsia="Times New Roman"/>
          <w:sz w:val="24"/>
          <w:lang w:val="en-GB" w:eastAsia="ar-SA"/>
        </w:rPr>
        <w:t xml:space="preserve">ction to </w:t>
      </w:r>
      <w:proofErr w:type="spellStart"/>
      <w:r w:rsidRPr="000C1535">
        <w:rPr>
          <w:rFonts w:eastAsia="Times New Roman"/>
          <w:sz w:val="24"/>
          <w:lang w:val="en-GB" w:eastAsia="ar-SA"/>
        </w:rPr>
        <w:t>Saxena</w:t>
      </w:r>
      <w:proofErr w:type="spellEnd"/>
      <w:r w:rsidRPr="000C1535">
        <w:rPr>
          <w:rFonts w:eastAsia="Times New Roman"/>
          <w:sz w:val="24"/>
          <w:lang w:val="en-GB" w:eastAsia="ar-SA"/>
        </w:rPr>
        <w:t xml:space="preserve"> (scanning of </w:t>
      </w:r>
      <w:proofErr w:type="spellStart"/>
      <w:r w:rsidRPr="000C1535">
        <w:rPr>
          <w:rFonts w:eastAsia="Times New Roman"/>
          <w:sz w:val="24"/>
          <w:lang w:val="en-GB" w:eastAsia="ar-SA"/>
        </w:rPr>
        <w:t>Pramana</w:t>
      </w:r>
      <w:proofErr w:type="spellEnd"/>
      <w:r w:rsidRPr="000C1535">
        <w:rPr>
          <w:rFonts w:eastAsia="Times New Roman"/>
          <w:sz w:val="24"/>
          <w:lang w:val="en-GB" w:eastAsia="ar-SA"/>
        </w:rPr>
        <w:t xml:space="preserve"> and Indian Journal of Pure and Applied Physics) was deleted because the scanning till 2016 was completed by NDPCI and NDS.</w:t>
      </w:r>
    </w:p>
    <w:p w:rsidR="000C1535" w:rsidRPr="000C1535" w:rsidRDefault="000C1535" w:rsidP="000C1535">
      <w:pPr>
        <w:suppressAutoHyphens/>
        <w:spacing w:before="120"/>
        <w:jc w:val="both"/>
        <w:rPr>
          <w:rFonts w:eastAsia="Times New Roman"/>
          <w:sz w:val="24"/>
          <w:lang w:val="en-GB" w:eastAsia="ar-SA"/>
        </w:rPr>
      </w:pPr>
      <w:r w:rsidRPr="000C1535">
        <w:rPr>
          <w:rFonts w:eastAsia="Times New Roman"/>
          <w:sz w:val="24"/>
          <w:lang w:val="en-GB" w:eastAsia="ar-SA"/>
        </w:rPr>
        <w:t>The complete meeting summary will, as usual, then be published as an INDC report. Please let me know by 31 June 2017 if you would like to (1) receive a hard copy of the report, and/or (2) add paragraphs describing your contribution in the report.</w:t>
      </w:r>
    </w:p>
    <w:p w:rsidR="00016E68" w:rsidRPr="000C1535" w:rsidRDefault="00016E68" w:rsidP="00843CFF">
      <w:pPr>
        <w:rPr>
          <w:b/>
          <w:sz w:val="24"/>
          <w:szCs w:val="24"/>
          <w:lang w:val="en-GB" w:eastAsia="ja-JP"/>
        </w:rPr>
      </w:pPr>
    </w:p>
    <w:p w:rsidR="000C1535" w:rsidRPr="000C1535" w:rsidRDefault="00843CFF" w:rsidP="00763276">
      <w:pPr>
        <w:rPr>
          <w:b/>
          <w:sz w:val="24"/>
          <w:szCs w:val="24"/>
          <w:lang w:val="en-GB" w:eastAsia="ja-JP"/>
        </w:rPr>
      </w:pPr>
      <w:r w:rsidRPr="000C1535">
        <w:rPr>
          <w:b/>
          <w:sz w:val="24"/>
          <w:szCs w:val="24"/>
          <w:lang w:val="en-GB" w:eastAsia="ja-JP"/>
        </w:rPr>
        <w:t>Distribution:</w:t>
      </w:r>
    </w:p>
    <w:p w:rsidR="000C1535" w:rsidRPr="000C1535" w:rsidRDefault="000C1535" w:rsidP="00763276">
      <w:pPr>
        <w:rPr>
          <w:sz w:val="24"/>
          <w:lang w:val="en-GB" w:eastAsia="ja-JP"/>
        </w:rPr>
        <w:sectPr w:rsidR="000C1535" w:rsidRPr="000C1535" w:rsidSect="00745ADB">
          <w:pgSz w:w="11907" w:h="16839" w:code="9"/>
          <w:pgMar w:top="1440" w:right="1440" w:bottom="1440" w:left="1440" w:header="709" w:footer="709" w:gutter="0"/>
          <w:pgNumType w:start="1"/>
          <w:cols w:space="720"/>
          <w:docGrid w:linePitch="360"/>
        </w:sectPr>
      </w:pPr>
    </w:p>
    <w:p w:rsidR="00763276" w:rsidRPr="000C1535" w:rsidRDefault="00763276" w:rsidP="00763276">
      <w:pPr>
        <w:rPr>
          <w:sz w:val="24"/>
          <w:lang w:val="en-GB" w:eastAsia="ja-JP"/>
        </w:rPr>
      </w:pPr>
      <w:r w:rsidRPr="000C1535">
        <w:rPr>
          <w:sz w:val="24"/>
          <w:lang w:val="en-GB" w:eastAsia="ja-JP"/>
        </w:rPr>
        <w:lastRenderedPageBreak/>
        <w:t>a.koning@iaea.org</w:t>
      </w:r>
    </w:p>
    <w:p w:rsidR="00763276" w:rsidRPr="000C1535" w:rsidRDefault="00763276" w:rsidP="00763276">
      <w:pPr>
        <w:rPr>
          <w:sz w:val="24"/>
          <w:lang w:val="en-GB" w:eastAsia="ja-JP"/>
        </w:rPr>
      </w:pPr>
      <w:r w:rsidRPr="000C1535">
        <w:rPr>
          <w:sz w:val="24"/>
          <w:lang w:val="en-GB" w:eastAsia="ja-JP"/>
        </w:rPr>
        <w:t>abhihere@gmail.com</w:t>
      </w:r>
    </w:p>
    <w:p w:rsidR="00763276" w:rsidRPr="000C1535" w:rsidRDefault="00763276" w:rsidP="00763276">
      <w:pPr>
        <w:rPr>
          <w:sz w:val="24"/>
          <w:lang w:val="en-GB" w:eastAsia="ja-JP"/>
        </w:rPr>
      </w:pPr>
      <w:r w:rsidRPr="000C1535">
        <w:rPr>
          <w:sz w:val="24"/>
          <w:lang w:val="en-GB" w:eastAsia="ja-JP"/>
        </w:rPr>
        <w:t>aloks279@gmail.com</w:t>
      </w:r>
    </w:p>
    <w:p w:rsidR="00763276" w:rsidRPr="000C1535" w:rsidRDefault="00763276" w:rsidP="00763276">
      <w:pPr>
        <w:rPr>
          <w:sz w:val="24"/>
          <w:lang w:val="en-GB" w:eastAsia="ja-JP"/>
        </w:rPr>
      </w:pPr>
      <w:r w:rsidRPr="000C1535">
        <w:rPr>
          <w:sz w:val="24"/>
          <w:lang w:val="en-GB" w:eastAsia="ja-JP"/>
        </w:rPr>
        <w:t>cgc@ciae.ac.cn</w:t>
      </w:r>
    </w:p>
    <w:p w:rsidR="00763276" w:rsidRPr="000C1535" w:rsidRDefault="00763276" w:rsidP="00763276">
      <w:pPr>
        <w:rPr>
          <w:sz w:val="24"/>
          <w:lang w:val="en-GB" w:eastAsia="ja-JP"/>
        </w:rPr>
      </w:pPr>
      <w:r w:rsidRPr="000C1535">
        <w:rPr>
          <w:sz w:val="24"/>
          <w:lang w:val="en-GB" w:eastAsia="ja-JP"/>
        </w:rPr>
        <w:t>dbrown@bnl.gov</w:t>
      </w:r>
    </w:p>
    <w:p w:rsidR="00763276" w:rsidRPr="000C1535" w:rsidRDefault="00763276" w:rsidP="00763276">
      <w:pPr>
        <w:rPr>
          <w:sz w:val="24"/>
          <w:lang w:val="en-GB" w:eastAsia="ja-JP"/>
        </w:rPr>
      </w:pPr>
      <w:r w:rsidRPr="000C1535">
        <w:rPr>
          <w:sz w:val="24"/>
          <w:lang w:val="en-GB" w:eastAsia="ja-JP"/>
        </w:rPr>
        <w:t>draj@barc.gov.in</w:t>
      </w:r>
    </w:p>
    <w:p w:rsidR="00763276" w:rsidRPr="000C1535" w:rsidRDefault="00763276" w:rsidP="00763276">
      <w:pPr>
        <w:rPr>
          <w:sz w:val="24"/>
          <w:lang w:val="en-GB" w:eastAsia="ja-JP"/>
        </w:rPr>
      </w:pPr>
      <w:r w:rsidRPr="000C1535">
        <w:rPr>
          <w:sz w:val="24"/>
          <w:lang w:val="en-GB" w:eastAsia="ja-JP"/>
        </w:rPr>
        <w:t>dvoytenkov@ippe.ru</w:t>
      </w:r>
    </w:p>
    <w:p w:rsidR="00763276" w:rsidRPr="000C1535" w:rsidRDefault="00763276" w:rsidP="00763276">
      <w:pPr>
        <w:rPr>
          <w:sz w:val="24"/>
          <w:lang w:val="en-GB" w:eastAsia="ja-JP"/>
        </w:rPr>
      </w:pPr>
      <w:r w:rsidRPr="000C1535">
        <w:rPr>
          <w:sz w:val="24"/>
          <w:lang w:val="en-GB" w:eastAsia="ja-JP"/>
        </w:rPr>
        <w:t>ebata@nucl.sci.hokudai.ac.jp</w:t>
      </w:r>
    </w:p>
    <w:p w:rsidR="00763276" w:rsidRPr="000C1535" w:rsidRDefault="00763276" w:rsidP="00763276">
      <w:pPr>
        <w:rPr>
          <w:sz w:val="24"/>
          <w:lang w:val="en-GB" w:eastAsia="ja-JP"/>
        </w:rPr>
      </w:pPr>
      <w:r w:rsidRPr="000C1535">
        <w:rPr>
          <w:sz w:val="24"/>
          <w:lang w:val="en-GB" w:eastAsia="ja-JP"/>
        </w:rPr>
        <w:t>fukahori.tokio@jaea.go.jp</w:t>
      </w:r>
    </w:p>
    <w:p w:rsidR="00763276" w:rsidRPr="000C1535" w:rsidRDefault="00763276" w:rsidP="00763276">
      <w:pPr>
        <w:rPr>
          <w:sz w:val="24"/>
          <w:lang w:val="en-GB" w:eastAsia="ja-JP"/>
        </w:rPr>
      </w:pPr>
      <w:r w:rsidRPr="000C1535">
        <w:rPr>
          <w:sz w:val="24"/>
          <w:lang w:val="en-GB" w:eastAsia="ja-JP"/>
        </w:rPr>
        <w:t>ganesan555@gmail.com</w:t>
      </w:r>
    </w:p>
    <w:p w:rsidR="00763276" w:rsidRPr="000C1535" w:rsidRDefault="00763276" w:rsidP="00763276">
      <w:pPr>
        <w:rPr>
          <w:sz w:val="24"/>
          <w:lang w:val="en-GB" w:eastAsia="ja-JP"/>
        </w:rPr>
      </w:pPr>
      <w:r w:rsidRPr="000C1535">
        <w:rPr>
          <w:sz w:val="24"/>
          <w:lang w:val="en-GB" w:eastAsia="ja-JP"/>
        </w:rPr>
        <w:t>gezg@ciae.ac.cn</w:t>
      </w:r>
    </w:p>
    <w:p w:rsidR="00763276" w:rsidRPr="000C1535" w:rsidRDefault="00763276" w:rsidP="00763276">
      <w:pPr>
        <w:rPr>
          <w:sz w:val="24"/>
          <w:lang w:val="en-GB" w:eastAsia="ja-JP"/>
        </w:rPr>
      </w:pPr>
      <w:r w:rsidRPr="000C1535">
        <w:rPr>
          <w:sz w:val="24"/>
          <w:lang w:val="en-GB" w:eastAsia="ja-JP"/>
        </w:rPr>
        <w:t>iwamoto.osamu@jaea.go.jp</w:t>
      </w:r>
    </w:p>
    <w:p w:rsidR="00763276" w:rsidRPr="000C1535" w:rsidRDefault="00763276" w:rsidP="00763276">
      <w:pPr>
        <w:rPr>
          <w:sz w:val="24"/>
          <w:lang w:val="en-GB" w:eastAsia="ja-JP"/>
        </w:rPr>
      </w:pPr>
      <w:r w:rsidRPr="000C1535">
        <w:rPr>
          <w:sz w:val="24"/>
          <w:lang w:val="en-GB" w:eastAsia="ja-JP"/>
        </w:rPr>
        <w:t>j.c.sublet@iaea.org</w:t>
      </w:r>
    </w:p>
    <w:p w:rsidR="00763276" w:rsidRPr="000C1535" w:rsidRDefault="00763276" w:rsidP="00763276">
      <w:pPr>
        <w:rPr>
          <w:sz w:val="24"/>
          <w:lang w:val="en-GB" w:eastAsia="ja-JP"/>
        </w:rPr>
      </w:pPr>
      <w:r w:rsidRPr="000C1535">
        <w:rPr>
          <w:sz w:val="24"/>
          <w:lang w:val="en-GB" w:eastAsia="ja-JP"/>
        </w:rPr>
        <w:t>jhchang@kaeri.re.kr</w:t>
      </w:r>
    </w:p>
    <w:p w:rsidR="00763276" w:rsidRPr="000C1535" w:rsidRDefault="00763276" w:rsidP="00763276">
      <w:pPr>
        <w:rPr>
          <w:sz w:val="24"/>
          <w:lang w:val="en-GB" w:eastAsia="ja-JP"/>
        </w:rPr>
      </w:pPr>
      <w:r w:rsidRPr="000C1535">
        <w:rPr>
          <w:sz w:val="24"/>
          <w:lang w:val="en-GB" w:eastAsia="ja-JP"/>
        </w:rPr>
        <w:t>jmwang@ciae.ac.cn</w:t>
      </w:r>
    </w:p>
    <w:p w:rsidR="00763276" w:rsidRPr="000C1535" w:rsidRDefault="00763276" w:rsidP="00763276">
      <w:pPr>
        <w:rPr>
          <w:sz w:val="24"/>
          <w:lang w:val="en-GB" w:eastAsia="ja-JP"/>
        </w:rPr>
      </w:pPr>
      <w:r w:rsidRPr="000C1535">
        <w:rPr>
          <w:sz w:val="24"/>
          <w:lang w:val="en-GB" w:eastAsia="ja-JP"/>
        </w:rPr>
        <w:t>kaltchenko@kinr.kiev.ua</w:t>
      </w:r>
    </w:p>
    <w:p w:rsidR="00763276" w:rsidRPr="000C1535" w:rsidRDefault="00763276" w:rsidP="00763276">
      <w:pPr>
        <w:rPr>
          <w:sz w:val="24"/>
          <w:lang w:val="en-GB" w:eastAsia="ja-JP"/>
        </w:rPr>
      </w:pPr>
      <w:r w:rsidRPr="000C1535">
        <w:rPr>
          <w:sz w:val="24"/>
          <w:lang w:val="en-GB" w:eastAsia="ja-JP"/>
        </w:rPr>
        <w:t>jim.gulliford@oecd.org</w:t>
      </w:r>
    </w:p>
    <w:p w:rsidR="00763276" w:rsidRPr="000C1535" w:rsidRDefault="00763276" w:rsidP="00763276">
      <w:pPr>
        <w:rPr>
          <w:sz w:val="24"/>
          <w:lang w:val="en-GB" w:eastAsia="ja-JP"/>
        </w:rPr>
      </w:pPr>
      <w:r w:rsidRPr="000C1535">
        <w:rPr>
          <w:sz w:val="24"/>
          <w:lang w:val="en-GB" w:eastAsia="ja-JP"/>
        </w:rPr>
        <w:lastRenderedPageBreak/>
        <w:t>manuel.bossant@oecd.org</w:t>
      </w:r>
    </w:p>
    <w:p w:rsidR="00763276" w:rsidRPr="000C1535" w:rsidRDefault="00763276" w:rsidP="00763276">
      <w:pPr>
        <w:rPr>
          <w:sz w:val="24"/>
          <w:lang w:val="en-GB" w:eastAsia="ja-JP"/>
        </w:rPr>
      </w:pPr>
      <w:r w:rsidRPr="000C1535">
        <w:rPr>
          <w:sz w:val="24"/>
          <w:lang w:val="en-GB" w:eastAsia="ja-JP"/>
        </w:rPr>
        <w:t>marema08@gmail.com</w:t>
      </w:r>
    </w:p>
    <w:p w:rsidR="00763276" w:rsidRPr="000C1535" w:rsidRDefault="00763276" w:rsidP="00763276">
      <w:pPr>
        <w:rPr>
          <w:sz w:val="24"/>
          <w:lang w:val="en-GB" w:eastAsia="ja-JP"/>
        </w:rPr>
      </w:pPr>
      <w:r w:rsidRPr="000C1535">
        <w:rPr>
          <w:sz w:val="24"/>
          <w:lang w:val="en-GB" w:eastAsia="ja-JP"/>
        </w:rPr>
        <w:t>masaaki@nucl.sci.hokudai.ac.jp</w:t>
      </w:r>
    </w:p>
    <w:p w:rsidR="00763276" w:rsidRPr="000C1535" w:rsidRDefault="00763276" w:rsidP="00763276">
      <w:pPr>
        <w:rPr>
          <w:sz w:val="24"/>
          <w:lang w:val="en-GB" w:eastAsia="ja-JP"/>
        </w:rPr>
      </w:pPr>
      <w:r w:rsidRPr="000C1535">
        <w:rPr>
          <w:sz w:val="24"/>
          <w:lang w:val="en-GB" w:eastAsia="ja-JP"/>
        </w:rPr>
        <w:t>mmarina@ippe.ru</w:t>
      </w:r>
    </w:p>
    <w:p w:rsidR="00763276" w:rsidRPr="000C1535" w:rsidRDefault="00763276" w:rsidP="00763276">
      <w:pPr>
        <w:rPr>
          <w:sz w:val="24"/>
          <w:lang w:val="en-GB" w:eastAsia="ja-JP"/>
        </w:rPr>
      </w:pPr>
      <w:r w:rsidRPr="000C1535">
        <w:rPr>
          <w:sz w:val="24"/>
          <w:lang w:val="en-GB" w:eastAsia="ja-JP"/>
        </w:rPr>
        <w:t>mwherman@bnl.gov</w:t>
      </w:r>
    </w:p>
    <w:p w:rsidR="00763276" w:rsidRPr="000C1535" w:rsidRDefault="00763276" w:rsidP="00763276">
      <w:pPr>
        <w:rPr>
          <w:sz w:val="24"/>
          <w:lang w:val="en-GB" w:eastAsia="ja-JP"/>
        </w:rPr>
      </w:pPr>
      <w:r w:rsidRPr="000C1535">
        <w:rPr>
          <w:sz w:val="24"/>
          <w:lang w:val="en-GB" w:eastAsia="ja-JP"/>
        </w:rPr>
        <w:t>nicolas.soppera@oecd.org</w:t>
      </w:r>
    </w:p>
    <w:p w:rsidR="00763276" w:rsidRPr="000C1535" w:rsidRDefault="00763276" w:rsidP="00763276">
      <w:pPr>
        <w:rPr>
          <w:sz w:val="24"/>
          <w:lang w:val="en-GB" w:eastAsia="ja-JP"/>
        </w:rPr>
      </w:pPr>
      <w:r w:rsidRPr="000C1535">
        <w:rPr>
          <w:sz w:val="24"/>
          <w:lang w:val="en-GB" w:eastAsia="ja-JP"/>
        </w:rPr>
        <w:t>n.otsuka@iaea.org</w:t>
      </w:r>
    </w:p>
    <w:p w:rsidR="00763276" w:rsidRPr="000C1535" w:rsidRDefault="00763276" w:rsidP="00763276">
      <w:pPr>
        <w:rPr>
          <w:sz w:val="24"/>
          <w:lang w:val="en-GB" w:eastAsia="ja-JP"/>
        </w:rPr>
      </w:pPr>
      <w:r w:rsidRPr="000C1535">
        <w:rPr>
          <w:sz w:val="24"/>
          <w:lang w:val="en-GB" w:eastAsia="ja-JP"/>
        </w:rPr>
        <w:t>nrdc@jcprg.org</w:t>
      </w:r>
    </w:p>
    <w:p w:rsidR="00763276" w:rsidRPr="000C1535" w:rsidRDefault="00763276" w:rsidP="00763276">
      <w:pPr>
        <w:rPr>
          <w:sz w:val="24"/>
          <w:lang w:val="en-GB" w:eastAsia="ja-JP"/>
        </w:rPr>
      </w:pPr>
      <w:r w:rsidRPr="000C1535">
        <w:rPr>
          <w:sz w:val="24"/>
          <w:lang w:val="en-GB" w:eastAsia="ja-JP"/>
        </w:rPr>
        <w:t>nurzat.kenzhebaev@gmail.com</w:t>
      </w:r>
    </w:p>
    <w:p w:rsidR="00763276" w:rsidRPr="000C1535" w:rsidRDefault="00763276" w:rsidP="00763276">
      <w:pPr>
        <w:rPr>
          <w:sz w:val="24"/>
          <w:lang w:val="en-GB" w:eastAsia="ja-JP"/>
        </w:rPr>
      </w:pPr>
      <w:r w:rsidRPr="000C1535">
        <w:rPr>
          <w:sz w:val="24"/>
          <w:lang w:val="en-GB" w:eastAsia="ja-JP"/>
        </w:rPr>
        <w:t>ogritzay@kinr.kiev.ua</w:t>
      </w:r>
    </w:p>
    <w:p w:rsidR="00763276" w:rsidRPr="000C1535" w:rsidRDefault="00763276" w:rsidP="00763276">
      <w:pPr>
        <w:rPr>
          <w:sz w:val="24"/>
          <w:lang w:val="en-GB" w:eastAsia="ja-JP"/>
        </w:rPr>
      </w:pPr>
      <w:r w:rsidRPr="000C1535">
        <w:rPr>
          <w:sz w:val="24"/>
          <w:lang w:val="en-GB" w:eastAsia="ja-JP"/>
        </w:rPr>
        <w:t>oscar.cabellos@oecd.org</w:t>
      </w:r>
    </w:p>
    <w:p w:rsidR="00763276" w:rsidRPr="000C1535" w:rsidRDefault="00763276" w:rsidP="00763276">
      <w:pPr>
        <w:rPr>
          <w:sz w:val="24"/>
          <w:lang w:val="en-GB" w:eastAsia="ja-JP"/>
        </w:rPr>
      </w:pPr>
      <w:r w:rsidRPr="000C1535">
        <w:rPr>
          <w:sz w:val="24"/>
          <w:lang w:val="en-GB" w:eastAsia="ja-JP"/>
        </w:rPr>
        <w:t>otto.schwerer@aon.at</w:t>
      </w:r>
    </w:p>
    <w:p w:rsidR="00763276" w:rsidRPr="000C1535" w:rsidRDefault="00763276" w:rsidP="00763276">
      <w:pPr>
        <w:rPr>
          <w:sz w:val="24"/>
          <w:lang w:val="en-GB" w:eastAsia="ja-JP"/>
        </w:rPr>
      </w:pPr>
      <w:r w:rsidRPr="000C1535">
        <w:rPr>
          <w:sz w:val="24"/>
          <w:lang w:val="en-GB" w:eastAsia="ja-JP"/>
        </w:rPr>
        <w:t>pikulina@expd.vniief.ru</w:t>
      </w:r>
    </w:p>
    <w:p w:rsidR="00763276" w:rsidRPr="000C1535" w:rsidRDefault="00763276" w:rsidP="00763276">
      <w:pPr>
        <w:rPr>
          <w:sz w:val="24"/>
          <w:lang w:val="en-GB" w:eastAsia="ja-JP"/>
        </w:rPr>
      </w:pPr>
      <w:r w:rsidRPr="000C1535">
        <w:rPr>
          <w:sz w:val="24"/>
          <w:lang w:val="en-GB" w:eastAsia="ja-JP"/>
        </w:rPr>
        <w:t>pritychenko@bnl.gov</w:t>
      </w:r>
    </w:p>
    <w:p w:rsidR="00763276" w:rsidRPr="000C1535" w:rsidRDefault="00763276" w:rsidP="00763276">
      <w:pPr>
        <w:rPr>
          <w:sz w:val="24"/>
          <w:lang w:val="en-GB" w:eastAsia="ja-JP"/>
        </w:rPr>
      </w:pPr>
      <w:r w:rsidRPr="000C1535">
        <w:rPr>
          <w:sz w:val="24"/>
          <w:lang w:val="en-GB" w:eastAsia="ja-JP"/>
        </w:rPr>
        <w:t>samaev@obninsk.ru</w:t>
      </w:r>
    </w:p>
    <w:p w:rsidR="00763276" w:rsidRPr="000C1535" w:rsidRDefault="00763276" w:rsidP="00763276">
      <w:pPr>
        <w:rPr>
          <w:sz w:val="24"/>
          <w:lang w:val="en-GB" w:eastAsia="ja-JP"/>
        </w:rPr>
      </w:pPr>
      <w:r w:rsidRPr="000C1535">
        <w:rPr>
          <w:sz w:val="24"/>
          <w:lang w:val="en-GB" w:eastAsia="ja-JP"/>
        </w:rPr>
        <w:t>sbabykina@yandex.ru</w:t>
      </w:r>
    </w:p>
    <w:p w:rsidR="00763276" w:rsidRPr="000C1535" w:rsidRDefault="00763276" w:rsidP="00763276">
      <w:pPr>
        <w:rPr>
          <w:sz w:val="24"/>
          <w:lang w:val="en-GB" w:eastAsia="ja-JP"/>
        </w:rPr>
      </w:pPr>
      <w:r w:rsidRPr="000C1535">
        <w:rPr>
          <w:sz w:val="24"/>
          <w:lang w:val="en-GB" w:eastAsia="ja-JP"/>
        </w:rPr>
        <w:t>scyang@kaeri.re.kr</w:t>
      </w:r>
    </w:p>
    <w:p w:rsidR="00763276" w:rsidRPr="000C1535" w:rsidRDefault="00763276" w:rsidP="00763276">
      <w:pPr>
        <w:rPr>
          <w:sz w:val="24"/>
          <w:lang w:val="en-GB" w:eastAsia="ja-JP"/>
        </w:rPr>
      </w:pPr>
      <w:r w:rsidRPr="000C1535">
        <w:rPr>
          <w:sz w:val="24"/>
          <w:lang w:val="en-GB" w:eastAsia="ja-JP"/>
        </w:rPr>
        <w:lastRenderedPageBreak/>
        <w:t>selyankina@expd.vniief.ru</w:t>
      </w:r>
    </w:p>
    <w:p w:rsidR="00763276" w:rsidRPr="000C1535" w:rsidRDefault="00763276" w:rsidP="00763276">
      <w:pPr>
        <w:rPr>
          <w:sz w:val="24"/>
          <w:lang w:val="en-GB" w:eastAsia="ja-JP"/>
        </w:rPr>
      </w:pPr>
      <w:r w:rsidRPr="000C1535">
        <w:rPr>
          <w:sz w:val="24"/>
          <w:lang w:val="en-GB" w:eastAsia="ja-JP"/>
        </w:rPr>
        <w:t>sonzogni@bnl.gov</w:t>
      </w:r>
    </w:p>
    <w:p w:rsidR="00763276" w:rsidRPr="000C1535" w:rsidRDefault="00763276" w:rsidP="00763276">
      <w:pPr>
        <w:rPr>
          <w:sz w:val="24"/>
          <w:lang w:val="en-GB" w:eastAsia="ja-JP"/>
        </w:rPr>
      </w:pPr>
      <w:r w:rsidRPr="000C1535">
        <w:rPr>
          <w:sz w:val="24"/>
          <w:lang w:val="en-GB" w:eastAsia="ja-JP"/>
        </w:rPr>
        <w:t>stakacs@atomki.hu</w:t>
      </w:r>
    </w:p>
    <w:p w:rsidR="00763276" w:rsidRPr="000C1535" w:rsidRDefault="00763276" w:rsidP="00763276">
      <w:pPr>
        <w:rPr>
          <w:sz w:val="24"/>
          <w:lang w:val="en-GB" w:eastAsia="ja-JP"/>
        </w:rPr>
      </w:pPr>
      <w:r w:rsidRPr="000C1535">
        <w:rPr>
          <w:sz w:val="24"/>
          <w:lang w:val="en-GB" w:eastAsia="ja-JP"/>
        </w:rPr>
        <w:t>stanislav.hlavac@savba.sk</w:t>
      </w:r>
    </w:p>
    <w:p w:rsidR="00763276" w:rsidRPr="000C1535" w:rsidRDefault="00763276" w:rsidP="00763276">
      <w:pPr>
        <w:rPr>
          <w:sz w:val="24"/>
          <w:lang w:val="en-GB" w:eastAsia="ja-JP"/>
        </w:rPr>
      </w:pPr>
      <w:r w:rsidRPr="000C1535">
        <w:rPr>
          <w:sz w:val="24"/>
          <w:lang w:val="en-GB" w:eastAsia="ja-JP"/>
        </w:rPr>
        <w:t>s.a.dunaeva@yandex.ru</w:t>
      </w:r>
    </w:p>
    <w:p w:rsidR="00763276" w:rsidRPr="000C1535" w:rsidRDefault="00763276" w:rsidP="00763276">
      <w:pPr>
        <w:rPr>
          <w:sz w:val="24"/>
          <w:lang w:val="en-GB" w:eastAsia="ja-JP"/>
        </w:rPr>
      </w:pPr>
      <w:r w:rsidRPr="000C1535">
        <w:rPr>
          <w:sz w:val="24"/>
          <w:lang w:val="en-GB" w:eastAsia="ja-JP"/>
        </w:rPr>
        <w:t>sv.dunaeva@gmail.com</w:t>
      </w:r>
    </w:p>
    <w:p w:rsidR="00763276" w:rsidRPr="000C1535" w:rsidRDefault="00763276" w:rsidP="00763276">
      <w:pPr>
        <w:rPr>
          <w:sz w:val="24"/>
          <w:lang w:val="en-GB" w:eastAsia="ja-JP"/>
        </w:rPr>
      </w:pPr>
      <w:r w:rsidRPr="000C1535">
        <w:rPr>
          <w:sz w:val="24"/>
          <w:lang w:val="en-GB" w:eastAsia="ja-JP"/>
        </w:rPr>
        <w:t>taova@expd.vniief.ru</w:t>
      </w:r>
    </w:p>
    <w:p w:rsidR="00763276" w:rsidRPr="000C1535" w:rsidRDefault="00763276" w:rsidP="00763276">
      <w:pPr>
        <w:rPr>
          <w:sz w:val="24"/>
          <w:lang w:val="en-GB" w:eastAsia="ja-JP"/>
        </w:rPr>
      </w:pPr>
      <w:r w:rsidRPr="000C1535">
        <w:rPr>
          <w:sz w:val="24"/>
          <w:lang w:val="en-GB" w:eastAsia="ja-JP"/>
        </w:rPr>
        <w:lastRenderedPageBreak/>
        <w:t>tarkanyi@atomki.hu</w:t>
      </w:r>
    </w:p>
    <w:p w:rsidR="00763276" w:rsidRPr="000C1535" w:rsidRDefault="00763276" w:rsidP="00763276">
      <w:pPr>
        <w:rPr>
          <w:sz w:val="24"/>
          <w:lang w:val="en-GB" w:eastAsia="ja-JP"/>
        </w:rPr>
      </w:pPr>
      <w:r w:rsidRPr="000C1535">
        <w:rPr>
          <w:sz w:val="24"/>
          <w:lang w:val="en-GB" w:eastAsia="ja-JP"/>
        </w:rPr>
        <w:t>vvvarlamov@gmail.com</w:t>
      </w:r>
    </w:p>
    <w:p w:rsidR="00763276" w:rsidRPr="000C1535" w:rsidRDefault="00763276" w:rsidP="00763276">
      <w:pPr>
        <w:rPr>
          <w:sz w:val="24"/>
          <w:lang w:val="en-GB" w:eastAsia="ja-JP"/>
        </w:rPr>
      </w:pPr>
      <w:r w:rsidRPr="000C1535">
        <w:rPr>
          <w:sz w:val="24"/>
          <w:lang w:val="en-GB" w:eastAsia="ja-JP"/>
        </w:rPr>
        <w:t>v.semkova@iaea.org</w:t>
      </w:r>
    </w:p>
    <w:p w:rsidR="00763276" w:rsidRPr="000C1535" w:rsidRDefault="00763276" w:rsidP="00763276">
      <w:pPr>
        <w:rPr>
          <w:sz w:val="24"/>
          <w:lang w:val="en-GB" w:eastAsia="ja-JP"/>
        </w:rPr>
      </w:pPr>
      <w:r w:rsidRPr="000C1535">
        <w:rPr>
          <w:sz w:val="24"/>
          <w:lang w:val="en-GB" w:eastAsia="ja-JP"/>
        </w:rPr>
        <w:t>v.zerkin@iaea.org</w:t>
      </w:r>
    </w:p>
    <w:p w:rsidR="00763276" w:rsidRPr="000C1535" w:rsidRDefault="00763276" w:rsidP="00763276">
      <w:pPr>
        <w:rPr>
          <w:sz w:val="24"/>
          <w:lang w:val="en-GB" w:eastAsia="ja-JP"/>
        </w:rPr>
      </w:pPr>
      <w:r w:rsidRPr="000C1535">
        <w:rPr>
          <w:sz w:val="24"/>
          <w:lang w:val="en-GB" w:eastAsia="ja-JP"/>
        </w:rPr>
        <w:t>yolee@kaeri.re.kr</w:t>
      </w:r>
    </w:p>
    <w:p w:rsidR="00763276" w:rsidRPr="000C1535" w:rsidRDefault="00763276" w:rsidP="00763276">
      <w:pPr>
        <w:rPr>
          <w:sz w:val="24"/>
          <w:lang w:val="en-GB" w:eastAsia="ja-JP"/>
        </w:rPr>
      </w:pPr>
      <w:r w:rsidRPr="000C1535">
        <w:rPr>
          <w:sz w:val="24"/>
          <w:lang w:val="en-GB" w:eastAsia="ja-JP"/>
        </w:rPr>
        <w:t>zholdybayev@inp.kz</w:t>
      </w:r>
    </w:p>
    <w:p w:rsidR="00016E68" w:rsidRPr="000C1535" w:rsidRDefault="000C1535" w:rsidP="000C1535">
      <w:pPr>
        <w:pStyle w:val="HTMLPreformatted"/>
        <w:rPr>
          <w:rFonts w:ascii="Times New Roman" w:hAnsi="Times New Roman" w:cs="Times New Roman"/>
          <w:sz w:val="24"/>
          <w:lang w:val="en-GB" w:eastAsia="ja-JP"/>
        </w:rPr>
      </w:pPr>
      <w:r w:rsidRPr="000C1535">
        <w:rPr>
          <w:rFonts w:ascii="Times New Roman" w:hAnsi="Times New Roman" w:cs="Times New Roman"/>
          <w:sz w:val="24"/>
          <w:lang w:val="en-GB" w:eastAsia="ja-JP"/>
        </w:rPr>
        <w:t>zhuangyx@ciae.ac.cn</w:t>
      </w:r>
    </w:p>
    <w:p w:rsidR="000C1535" w:rsidRPr="000C1535" w:rsidRDefault="000C1535" w:rsidP="000C1535">
      <w:pPr>
        <w:pStyle w:val="HTMLPreformatted"/>
        <w:rPr>
          <w:rFonts w:ascii="Times New Roman" w:hAnsi="Times New Roman" w:cs="Times New Roman"/>
          <w:b/>
          <w:sz w:val="24"/>
          <w:szCs w:val="24"/>
          <w:lang w:val="en-GB" w:eastAsia="ja-JP"/>
        </w:rPr>
        <w:sectPr w:rsidR="000C1535" w:rsidRPr="000C1535" w:rsidSect="00745ADB">
          <w:type w:val="continuous"/>
          <w:pgSz w:w="11907" w:h="16839" w:code="9"/>
          <w:pgMar w:top="1440" w:right="1440" w:bottom="1440" w:left="1440" w:header="709" w:footer="709" w:gutter="0"/>
          <w:pgNumType w:start="1"/>
          <w:cols w:num="2" w:space="720"/>
          <w:docGrid w:linePitch="360"/>
        </w:sectPr>
      </w:pPr>
    </w:p>
    <w:p w:rsidR="000C1535" w:rsidRPr="000C1535" w:rsidRDefault="000C1535" w:rsidP="000C1535">
      <w:pPr>
        <w:pStyle w:val="HTMLPreformatted"/>
        <w:rPr>
          <w:rFonts w:ascii="Times New Roman" w:hAnsi="Times New Roman" w:cs="Times New Roman"/>
          <w:b/>
          <w:sz w:val="24"/>
          <w:szCs w:val="24"/>
          <w:lang w:val="en-GB" w:eastAsia="ja-JP"/>
        </w:rPr>
      </w:pPr>
    </w:p>
    <w:p w:rsidR="00C049E0" w:rsidRDefault="00C049E0">
      <w:pPr>
        <w:rPr>
          <w:b/>
          <w:sz w:val="24"/>
          <w:szCs w:val="24"/>
          <w:lang w:val="en-GB" w:eastAsia="ja-JP"/>
        </w:rPr>
      </w:pPr>
      <w:r>
        <w:rPr>
          <w:b/>
          <w:sz w:val="24"/>
          <w:szCs w:val="24"/>
          <w:lang w:val="en-GB" w:eastAsia="ja-JP"/>
        </w:rPr>
        <w:br w:type="page"/>
      </w:r>
    </w:p>
    <w:p w:rsidR="00C049E0" w:rsidRPr="00C049E0" w:rsidRDefault="00C049E0" w:rsidP="00C049E0">
      <w:pPr>
        <w:widowControl w:val="0"/>
        <w:spacing w:before="851" w:after="390" w:line="360" w:lineRule="exact"/>
        <w:jc w:val="center"/>
        <w:outlineLvl w:val="0"/>
        <w:rPr>
          <w:b/>
          <w:sz w:val="32"/>
          <w:lang w:val="en-GB" w:eastAsia="en-US"/>
        </w:rPr>
      </w:pPr>
      <w:r w:rsidRPr="00C049E0">
        <w:rPr>
          <w:b/>
          <w:sz w:val="32"/>
          <w:lang w:val="en-GB" w:eastAsia="en-US"/>
        </w:rPr>
        <w:lastRenderedPageBreak/>
        <w:t>Conclusions and Actions of the NRDC 2017 Meeting</w:t>
      </w:r>
    </w:p>
    <w:p w:rsidR="00C049E0" w:rsidRPr="00C049E0" w:rsidRDefault="00C049E0" w:rsidP="00C049E0">
      <w:pPr>
        <w:jc w:val="center"/>
        <w:rPr>
          <w:b/>
          <w:lang w:val="en-GB"/>
        </w:rPr>
      </w:pPr>
      <w:r w:rsidRPr="00C049E0">
        <w:rPr>
          <w:b/>
          <w:lang w:val="en-GB"/>
        </w:rPr>
        <w:t>(Draft Ver. 2017-05-31)</w:t>
      </w:r>
    </w:p>
    <w:p w:rsidR="00C049E0" w:rsidRPr="00C049E0" w:rsidRDefault="00C049E0" w:rsidP="00C049E0">
      <w:pPr>
        <w:keepNext/>
        <w:spacing w:before="240" w:after="60"/>
        <w:jc w:val="center"/>
        <w:outlineLvl w:val="1"/>
        <w:rPr>
          <w:rFonts w:cs="Arial"/>
          <w:b/>
          <w:bCs/>
          <w:iCs/>
          <w:sz w:val="28"/>
          <w:szCs w:val="28"/>
          <w:lang w:val="en-GB" w:eastAsia="ja-JP"/>
        </w:rPr>
      </w:pPr>
      <w:bookmarkStart w:id="0" w:name="_Toc326579772"/>
      <w:bookmarkStart w:id="1" w:name="_Toc326589830"/>
      <w:bookmarkStart w:id="2" w:name="_Toc326594257"/>
      <w:bookmarkStart w:id="3" w:name="_Toc457287392"/>
      <w:r w:rsidRPr="00C049E0">
        <w:rPr>
          <w:rFonts w:cs="Arial"/>
          <w:b/>
          <w:bCs/>
          <w:iCs/>
          <w:sz w:val="28"/>
          <w:szCs w:val="28"/>
          <w:lang w:val="en-GB"/>
        </w:rPr>
        <w:t>Conclusions</w:t>
      </w:r>
      <w:bookmarkEnd w:id="0"/>
      <w:bookmarkEnd w:id="1"/>
      <w:bookmarkEnd w:id="2"/>
      <w:bookmarkEnd w:id="3"/>
    </w:p>
    <w:tbl>
      <w:tblPr>
        <w:tblW w:w="90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8360"/>
      </w:tblGrid>
      <w:tr w:rsidR="00C049E0" w:rsidRPr="00C049E0" w:rsidTr="00586D83">
        <w:trPr>
          <w:cantSplit/>
        </w:trPr>
        <w:tc>
          <w:tcPr>
            <w:tcW w:w="9020" w:type="dxa"/>
            <w:gridSpan w:val="2"/>
          </w:tcPr>
          <w:p w:rsidR="00C049E0" w:rsidRPr="00C049E0" w:rsidRDefault="00C049E0" w:rsidP="00C049E0">
            <w:pPr>
              <w:suppressAutoHyphens/>
              <w:rPr>
                <w:rFonts w:eastAsia="Times New Roman"/>
                <w:b/>
                <w:sz w:val="24"/>
                <w:szCs w:val="24"/>
                <w:lang w:val="en-GB" w:eastAsia="ar-SA"/>
              </w:rPr>
            </w:pPr>
            <w:bookmarkStart w:id="4" w:name="_Toc211232475"/>
            <w:r w:rsidRPr="00C049E0">
              <w:rPr>
                <w:rFonts w:eastAsia="Times New Roman"/>
                <w:b/>
                <w:sz w:val="24"/>
                <w:szCs w:val="24"/>
                <w:lang w:val="en-GB" w:eastAsia="ar-SA"/>
              </w:rPr>
              <w:t>General</w:t>
            </w:r>
          </w:p>
          <w:p w:rsidR="00C049E0" w:rsidRPr="00C049E0" w:rsidRDefault="00C049E0" w:rsidP="00C049E0">
            <w:pPr>
              <w:tabs>
                <w:tab w:val="left" w:pos="3165"/>
              </w:tabs>
              <w:suppressAutoHyphens/>
              <w:jc w:val="both"/>
              <w:rPr>
                <w:rFonts w:eastAsia="Times New Roman"/>
                <w:b/>
                <w:sz w:val="24"/>
                <w:szCs w:val="24"/>
                <w:lang w:val="en-GB" w:eastAsia="ar-SA"/>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rFonts w:eastAsia="Times New Roman"/>
                <w:sz w:val="24"/>
                <w:szCs w:val="24"/>
                <w:lang w:val="en-GB" w:eastAsia="ja-JP"/>
              </w:rPr>
              <w:t>C</w:t>
            </w:r>
            <w:r w:rsidRPr="00C049E0">
              <w:rPr>
                <w:sz w:val="24"/>
                <w:szCs w:val="24"/>
                <w:lang w:val="en-GB" w:eastAsia="ja-JP"/>
              </w:rPr>
              <w:t>1</w:t>
            </w:r>
          </w:p>
        </w:tc>
        <w:tc>
          <w:tcPr>
            <w:tcW w:w="8360" w:type="dxa"/>
          </w:tcPr>
          <w:p w:rsidR="00C049E0" w:rsidRPr="00C049E0" w:rsidRDefault="00C049E0" w:rsidP="00C049E0">
            <w:pPr>
              <w:suppressAutoHyphens/>
              <w:ind w:left="1"/>
              <w:jc w:val="both"/>
              <w:rPr>
                <w:sz w:val="24"/>
                <w:szCs w:val="24"/>
                <w:lang w:val="en-GB" w:eastAsia="ja-JP"/>
              </w:rPr>
            </w:pPr>
            <w:r w:rsidRPr="00C049E0">
              <w:rPr>
                <w:rFonts w:eastAsia="Times New Roman"/>
                <w:sz w:val="24"/>
                <w:szCs w:val="24"/>
                <w:lang w:val="en-GB" w:eastAsia="ar-SA"/>
              </w:rPr>
              <w:t xml:space="preserve">The next full NRDC meeting will be held </w:t>
            </w:r>
            <w:r w:rsidRPr="00C049E0">
              <w:rPr>
                <w:rFonts w:eastAsia="Times New Roman"/>
                <w:sz w:val="24"/>
                <w:szCs w:val="24"/>
                <w:lang w:val="en-GB" w:eastAsia="ja-JP"/>
              </w:rPr>
              <w:t xml:space="preserve">in </w:t>
            </w:r>
            <w:proofErr w:type="spellStart"/>
            <w:r w:rsidRPr="00C049E0">
              <w:rPr>
                <w:rFonts w:eastAsia="Times New Roman"/>
                <w:sz w:val="24"/>
                <w:szCs w:val="24"/>
                <w:lang w:val="en-GB" w:eastAsia="ja-JP"/>
              </w:rPr>
              <w:t>Bahadurgarh</w:t>
            </w:r>
            <w:proofErr w:type="spellEnd"/>
            <w:r w:rsidRPr="00C049E0">
              <w:rPr>
                <w:rFonts w:eastAsia="Times New Roman"/>
                <w:sz w:val="24"/>
                <w:szCs w:val="24"/>
                <w:lang w:val="en-GB" w:eastAsia="ja-JP"/>
              </w:rPr>
              <w:t>,</w:t>
            </w:r>
            <w:r w:rsidRPr="00C049E0">
              <w:rPr>
                <w:sz w:val="24"/>
                <w:szCs w:val="24"/>
                <w:lang w:val="en-GB" w:eastAsia="ja-JP"/>
              </w:rPr>
              <w:t xml:space="preserve"> India from 1 to 4 May 2018. (N.B. the 2018 WPEC meeting will be from 14 to 18 May.)</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The next technical NRDC meeting will be held in Vienna, Austria in the 2nd quarter of 2019.</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C3</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The NRDC congratulates on CNPD’s 20 years of dedication to the NRDC activity through compilation of charged-particle induced reaction data as well as compilation software development.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p>
        </w:tc>
        <w:tc>
          <w:tcPr>
            <w:tcW w:w="8360" w:type="dxa"/>
          </w:tcPr>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9020" w:type="dxa"/>
            <w:gridSpan w:val="2"/>
          </w:tcPr>
          <w:p w:rsidR="00C049E0" w:rsidRPr="00C049E0" w:rsidRDefault="00C049E0" w:rsidP="00C049E0">
            <w:pPr>
              <w:suppressAutoHyphens/>
              <w:jc w:val="both"/>
              <w:rPr>
                <w:rFonts w:eastAsia="Times New Roman"/>
                <w:b/>
                <w:sz w:val="24"/>
                <w:szCs w:val="24"/>
                <w:lang w:val="en-GB" w:eastAsia="ar-SA"/>
              </w:rPr>
            </w:pPr>
            <w:r w:rsidRPr="00C049E0">
              <w:rPr>
                <w:rFonts w:eastAsia="Times New Roman"/>
                <w:b/>
                <w:sz w:val="24"/>
                <w:szCs w:val="24"/>
                <w:lang w:val="en-GB" w:eastAsia="ar-SA"/>
              </w:rPr>
              <w:t>EXFOR General</w:t>
            </w:r>
          </w:p>
          <w:p w:rsidR="00C049E0" w:rsidRPr="00C049E0" w:rsidRDefault="00C049E0" w:rsidP="00C049E0">
            <w:pPr>
              <w:suppressAutoHyphens/>
              <w:jc w:val="both"/>
              <w:rPr>
                <w:rFonts w:eastAsia="Times New Roman"/>
                <w:b/>
                <w:sz w:val="24"/>
                <w:szCs w:val="24"/>
                <w:lang w:val="en-GB" w:eastAsia="ar-SA"/>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C4</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Centres must check periodically the list of the outstanding articles maintained by NDS (“Article Allocation List”), and inform NDS periodically</w:t>
            </w:r>
            <w:r w:rsidRPr="00C049E0">
              <w:rPr>
                <w:rFonts w:hint="eastAsia"/>
                <w:sz w:val="24"/>
                <w:szCs w:val="24"/>
                <w:lang w:val="en-GB" w:eastAsia="ja-JP"/>
              </w:rPr>
              <w:t xml:space="preserve"> </w:t>
            </w:r>
            <w:r w:rsidRPr="00C049E0">
              <w:rPr>
                <w:sz w:val="24"/>
                <w:szCs w:val="24"/>
                <w:lang w:val="en-GB" w:eastAsia="ja-JP"/>
              </w:rPr>
              <w:t>necessary updates (e.g., assignment of an entry number, article not for compilation, article for compilation by another centre).</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C5</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CNPD, JAEA NDS and </w:t>
            </w:r>
            <w:proofErr w:type="spellStart"/>
            <w:r w:rsidRPr="00C049E0">
              <w:rPr>
                <w:sz w:val="24"/>
                <w:szCs w:val="24"/>
                <w:lang w:val="en-GB" w:eastAsia="ja-JP"/>
              </w:rPr>
              <w:t>UkrNDC</w:t>
            </w:r>
            <w:proofErr w:type="spellEnd"/>
            <w:r w:rsidRPr="00C049E0">
              <w:rPr>
                <w:sz w:val="24"/>
                <w:szCs w:val="24"/>
                <w:lang w:val="en-GB" w:eastAsia="ja-JP"/>
              </w:rPr>
              <w:t xml:space="preserve"> perform their responsibility for scanning of new publications </w:t>
            </w:r>
            <w:r w:rsidRPr="00C049E0">
              <w:rPr>
                <w:rFonts w:hint="eastAsia"/>
                <w:sz w:val="24"/>
                <w:szCs w:val="24"/>
                <w:lang w:val="en-GB" w:eastAsia="ja-JP"/>
              </w:rPr>
              <w:t xml:space="preserve">regularly </w:t>
            </w:r>
            <w:r w:rsidRPr="00C049E0">
              <w:rPr>
                <w:sz w:val="24"/>
                <w:szCs w:val="24"/>
                <w:lang w:val="en-GB" w:eastAsia="ja-JP"/>
              </w:rPr>
              <w:t>(WP2017-03).</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C6</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Centres must finalize preliminary tapes as soon as the required period for comments elapses (one month). In case of disagreement with the proposed corrections the centres shall try to clarify the situation and resolve the issues (WP2017-04).</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p>
        </w:tc>
        <w:tc>
          <w:tcPr>
            <w:tcW w:w="8360" w:type="dxa"/>
          </w:tcPr>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9020" w:type="dxa"/>
            <w:gridSpan w:val="2"/>
          </w:tcPr>
          <w:p w:rsidR="00C049E0" w:rsidRPr="00C049E0" w:rsidRDefault="00C049E0" w:rsidP="00C049E0">
            <w:pPr>
              <w:suppressAutoHyphens/>
              <w:jc w:val="both"/>
              <w:rPr>
                <w:rFonts w:eastAsia="Times New Roman"/>
                <w:b/>
                <w:sz w:val="24"/>
                <w:szCs w:val="24"/>
                <w:lang w:val="en-GB" w:eastAsia="ja-JP"/>
              </w:rPr>
            </w:pPr>
            <w:r w:rsidRPr="00C049E0">
              <w:rPr>
                <w:rFonts w:eastAsia="Times New Roman"/>
                <w:b/>
                <w:sz w:val="24"/>
                <w:szCs w:val="24"/>
                <w:lang w:val="en-GB" w:eastAsia="ja-JP"/>
              </w:rPr>
              <w:t>Manuals and Dictionary</w:t>
            </w:r>
          </w:p>
          <w:p w:rsidR="00C049E0" w:rsidRPr="00C049E0" w:rsidRDefault="00C049E0" w:rsidP="00C049E0">
            <w:pPr>
              <w:suppressAutoHyphens/>
              <w:jc w:val="both"/>
              <w:rPr>
                <w:rFonts w:eastAsia="Times New Roman"/>
                <w:b/>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rFonts w:eastAsia="Times New Roman"/>
                <w:sz w:val="24"/>
                <w:szCs w:val="24"/>
                <w:lang w:val="en-GB" w:eastAsia="ja-JP"/>
              </w:rPr>
              <w:t>C7</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Revisions of the EXFOR </w:t>
            </w:r>
            <w:r w:rsidRPr="00C049E0">
              <w:rPr>
                <w:sz w:val="24"/>
                <w:szCs w:val="24"/>
                <w:lang w:val="en-GB" w:eastAsia="ar-SA"/>
              </w:rPr>
              <w:t xml:space="preserve">Formats Manual Chapter 7 “REFERENCE” </w:t>
            </w:r>
            <w:r w:rsidRPr="00C049E0">
              <w:rPr>
                <w:sz w:val="24"/>
                <w:szCs w:val="24"/>
                <w:lang w:val="en-GB" w:eastAsia="ja-JP"/>
              </w:rPr>
              <w:t>proposed in CP-C/452=WP2017-08 and CP-D/920=WP2017-33 were approved.</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C8</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Revision of the EXFOR </w:t>
            </w:r>
            <w:r w:rsidRPr="00C049E0">
              <w:rPr>
                <w:sz w:val="24"/>
                <w:szCs w:val="24"/>
                <w:lang w:val="en-GB" w:eastAsia="ar-SA"/>
              </w:rPr>
              <w:t xml:space="preserve">Formats Manual </w:t>
            </w:r>
            <w:r w:rsidRPr="00C049E0">
              <w:rPr>
                <w:sz w:val="24"/>
                <w:szCs w:val="24"/>
                <w:lang w:val="en-GB" w:eastAsia="ja-JP"/>
              </w:rPr>
              <w:t>Chapter 7 “STATUS” proposed in CP-D/915 =WP2017-09 was approved.</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C9</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Revision of the EXFOR/CINDA Dictionary Manual “Dictionary 227” proposed in CP-D/917 =WP2017-10 was approved.</w:t>
            </w:r>
          </w:p>
          <w:p w:rsidR="00C049E0" w:rsidRPr="00C049E0" w:rsidRDefault="00C049E0" w:rsidP="00C049E0">
            <w:pPr>
              <w:widowControl w:val="0"/>
              <w:autoSpaceDE w:val="0"/>
              <w:autoSpaceDN w:val="0"/>
              <w:adjustRightInd w:val="0"/>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C10</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A new facility code is not necessary for </w:t>
            </w:r>
            <w:proofErr w:type="spellStart"/>
            <w:r w:rsidRPr="00C049E0">
              <w:rPr>
                <w:sz w:val="24"/>
                <w:szCs w:val="24"/>
                <w:lang w:val="en-GB" w:eastAsia="ja-JP"/>
              </w:rPr>
              <w:t>Pelletrons</w:t>
            </w:r>
            <w:proofErr w:type="spellEnd"/>
            <w:r w:rsidRPr="00C049E0">
              <w:rPr>
                <w:sz w:val="24"/>
                <w:szCs w:val="24"/>
                <w:lang w:val="en-GB" w:eastAsia="ja-JP"/>
              </w:rPr>
              <w:t xml:space="preserve">. Single ended and tandem types of </w:t>
            </w:r>
            <w:proofErr w:type="spellStart"/>
            <w:r w:rsidRPr="00C049E0">
              <w:rPr>
                <w:sz w:val="24"/>
                <w:szCs w:val="24"/>
                <w:lang w:val="en-GB" w:eastAsia="ja-JP"/>
              </w:rPr>
              <w:t>Pelletrons</w:t>
            </w:r>
            <w:proofErr w:type="spellEnd"/>
            <w:r w:rsidRPr="00C049E0">
              <w:rPr>
                <w:sz w:val="24"/>
                <w:szCs w:val="24"/>
                <w:lang w:val="en-GB" w:eastAsia="ja-JP"/>
              </w:rPr>
              <w:t xml:space="preserve"> will be coded by VDG and VDGT, respectively, as proposed in CP-D/922 = WP2017-12. </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lastRenderedPageBreak/>
              <w:t>C11</w:t>
            </w:r>
          </w:p>
        </w:tc>
        <w:tc>
          <w:tcPr>
            <w:tcW w:w="8360" w:type="dxa"/>
          </w:tcPr>
          <w:p w:rsidR="00C049E0" w:rsidRPr="00C049E0" w:rsidRDefault="00C049E0" w:rsidP="00C049E0">
            <w:pPr>
              <w:widowControl w:val="0"/>
              <w:autoSpaceDE w:val="0"/>
              <w:autoSpaceDN w:val="0"/>
              <w:adjustRightInd w:val="0"/>
              <w:jc w:val="both"/>
              <w:rPr>
                <w:sz w:val="24"/>
                <w:szCs w:val="24"/>
                <w:lang w:val="en-GB" w:eastAsia="ja-JP"/>
              </w:rPr>
            </w:pPr>
            <w:r w:rsidRPr="00C049E0">
              <w:rPr>
                <w:sz w:val="24"/>
                <w:szCs w:val="24"/>
                <w:lang w:val="en-GB" w:eastAsia="ja-JP"/>
              </w:rPr>
              <w:t>The analysis code RFN (R-function formalism) will be obsolete. The R-function formalism is a special case of the Reich-Moore formalism as summarized in CP-D/931 = WP2017-13, and the resonance parameters derived from this formalism must be coded with RM (Reich-Moore formalism) in REACTION SF8.</w:t>
            </w:r>
          </w:p>
          <w:p w:rsidR="00C049E0" w:rsidRPr="00C049E0" w:rsidRDefault="00C049E0" w:rsidP="00C049E0">
            <w:pPr>
              <w:widowControl w:val="0"/>
              <w:autoSpaceDE w:val="0"/>
              <w:autoSpaceDN w:val="0"/>
              <w:adjustRightInd w:val="0"/>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C12</w:t>
            </w:r>
          </w:p>
        </w:tc>
        <w:tc>
          <w:tcPr>
            <w:tcW w:w="8360" w:type="dxa"/>
          </w:tcPr>
          <w:p w:rsidR="00C049E0" w:rsidRPr="00C049E0" w:rsidRDefault="00C049E0" w:rsidP="00C049E0">
            <w:pPr>
              <w:widowControl w:val="0"/>
              <w:autoSpaceDE w:val="0"/>
              <w:autoSpaceDN w:val="0"/>
              <w:adjustRightInd w:val="0"/>
              <w:jc w:val="both"/>
              <w:rPr>
                <w:sz w:val="24"/>
                <w:szCs w:val="24"/>
                <w:lang w:val="en-GB" w:eastAsia="ja-JP"/>
              </w:rPr>
            </w:pPr>
            <w:r w:rsidRPr="00C049E0">
              <w:rPr>
                <w:sz w:val="24"/>
                <w:szCs w:val="24"/>
                <w:lang w:val="en-GB" w:eastAsia="ja-JP"/>
              </w:rPr>
              <w:t>The branch code MAS (total mass) and the quantity codes having this branch code will be obsolete. The mass fission yield (MAS</w:t>
            </w:r>
            <w:proofErr w:type="gramStart"/>
            <w:r w:rsidRPr="00C049E0">
              <w:rPr>
                <w:sz w:val="24"/>
                <w:szCs w:val="24"/>
                <w:lang w:val="en-GB" w:eastAsia="ja-JP"/>
              </w:rPr>
              <w:t>,FY</w:t>
            </w:r>
            <w:proofErr w:type="gramEnd"/>
            <w:r w:rsidRPr="00C049E0">
              <w:rPr>
                <w:sz w:val="24"/>
                <w:szCs w:val="24"/>
                <w:lang w:val="en-GB" w:eastAsia="ja-JP"/>
              </w:rPr>
              <w:t>) and secondary fission yield (SEC,FY) are the same quantity as discussed in CP-D/929=WP2017-14.</w:t>
            </w:r>
          </w:p>
          <w:p w:rsidR="00C049E0" w:rsidRPr="00C049E0" w:rsidRDefault="00C049E0" w:rsidP="00C049E0">
            <w:pPr>
              <w:widowControl w:val="0"/>
              <w:autoSpaceDE w:val="0"/>
              <w:autoSpaceDN w:val="0"/>
              <w:adjustRightInd w:val="0"/>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C13</w:t>
            </w:r>
          </w:p>
        </w:tc>
        <w:tc>
          <w:tcPr>
            <w:tcW w:w="8360" w:type="dxa"/>
          </w:tcPr>
          <w:p w:rsidR="00C049E0" w:rsidRPr="00C049E0" w:rsidRDefault="00C049E0" w:rsidP="00C049E0">
            <w:pPr>
              <w:widowControl w:val="0"/>
              <w:autoSpaceDE w:val="0"/>
              <w:autoSpaceDN w:val="0"/>
              <w:adjustRightInd w:val="0"/>
              <w:jc w:val="both"/>
              <w:rPr>
                <w:sz w:val="24"/>
                <w:szCs w:val="24"/>
                <w:lang w:val="en-GB" w:eastAsia="ja-JP"/>
              </w:rPr>
            </w:pPr>
            <w:r w:rsidRPr="00C049E0">
              <w:rPr>
                <w:sz w:val="24"/>
                <w:szCs w:val="24"/>
                <w:lang w:val="en-GB" w:eastAsia="ja-JP"/>
              </w:rPr>
              <w:t>An up-to-date Dictionary 3 (Institutes) could be useful to provide a list of nuclear physics institutions to the nuclear physics community (CP-C/455=WP2017-38).</w:t>
            </w:r>
          </w:p>
          <w:p w:rsidR="00C049E0" w:rsidRPr="00C049E0" w:rsidRDefault="00C049E0" w:rsidP="00C049E0">
            <w:pPr>
              <w:widowControl w:val="0"/>
              <w:autoSpaceDE w:val="0"/>
              <w:autoSpaceDN w:val="0"/>
              <w:adjustRightInd w:val="0"/>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C14</w:t>
            </w:r>
          </w:p>
        </w:tc>
        <w:tc>
          <w:tcPr>
            <w:tcW w:w="8360" w:type="dxa"/>
          </w:tcPr>
          <w:p w:rsidR="00C049E0" w:rsidRPr="00C049E0" w:rsidRDefault="00C049E0" w:rsidP="00C049E0">
            <w:pPr>
              <w:widowControl w:val="0"/>
              <w:autoSpaceDE w:val="0"/>
              <w:autoSpaceDN w:val="0"/>
              <w:adjustRightInd w:val="0"/>
              <w:jc w:val="both"/>
              <w:rPr>
                <w:sz w:val="24"/>
                <w:szCs w:val="24"/>
                <w:lang w:val="en-GB" w:eastAsia="ja-JP"/>
              </w:rPr>
            </w:pPr>
            <w:r w:rsidRPr="00C049E0">
              <w:rPr>
                <w:sz w:val="24"/>
                <w:szCs w:val="24"/>
                <w:lang w:val="en-GB" w:eastAsia="ja-JP"/>
              </w:rPr>
              <w:t xml:space="preserve">Centres are responsible to maintain the </w:t>
            </w:r>
            <w:r w:rsidRPr="00C049E0">
              <w:rPr>
                <w:rFonts w:hint="eastAsia"/>
                <w:sz w:val="24"/>
                <w:szCs w:val="24"/>
                <w:lang w:val="en-GB" w:eastAsia="ja-JP"/>
              </w:rPr>
              <w:t xml:space="preserve">explanations of the </w:t>
            </w:r>
            <w:r w:rsidRPr="00C049E0">
              <w:rPr>
                <w:sz w:val="24"/>
                <w:szCs w:val="24"/>
                <w:lang w:val="en-GB" w:eastAsia="ja-JP"/>
              </w:rPr>
              <w:t>institute codes belonging to their geographical areas up-to-date.</w:t>
            </w:r>
          </w:p>
          <w:p w:rsidR="00C049E0" w:rsidRPr="00C049E0" w:rsidRDefault="00C049E0" w:rsidP="00C049E0">
            <w:pPr>
              <w:widowControl w:val="0"/>
              <w:autoSpaceDE w:val="0"/>
              <w:autoSpaceDN w:val="0"/>
              <w:adjustRightInd w:val="0"/>
              <w:jc w:val="both"/>
              <w:rPr>
                <w:sz w:val="24"/>
                <w:szCs w:val="24"/>
                <w:lang w:val="en-GB" w:eastAsia="ja-JP"/>
              </w:rPr>
            </w:pPr>
          </w:p>
        </w:tc>
      </w:tr>
      <w:tr w:rsidR="00C049E0" w:rsidRPr="00C049E0" w:rsidTr="00586D83">
        <w:trPr>
          <w:cantSplit/>
        </w:trPr>
        <w:tc>
          <w:tcPr>
            <w:tcW w:w="9020" w:type="dxa"/>
            <w:gridSpan w:val="2"/>
          </w:tcPr>
          <w:p w:rsidR="00C049E0" w:rsidRPr="00C049E0" w:rsidRDefault="00C049E0" w:rsidP="00C049E0">
            <w:pPr>
              <w:suppressAutoHyphens/>
              <w:jc w:val="both"/>
              <w:rPr>
                <w:b/>
                <w:sz w:val="24"/>
                <w:szCs w:val="24"/>
                <w:lang w:val="en-GB" w:eastAsia="ja-JP"/>
              </w:rPr>
            </w:pPr>
            <w:r w:rsidRPr="00C049E0">
              <w:rPr>
                <w:rFonts w:eastAsia="Times New Roman"/>
                <w:b/>
                <w:sz w:val="24"/>
                <w:szCs w:val="24"/>
                <w:lang w:val="en-GB" w:eastAsia="ar-SA"/>
              </w:rPr>
              <w:t xml:space="preserve">EXFOR </w:t>
            </w:r>
            <w:r w:rsidRPr="00C049E0">
              <w:rPr>
                <w:b/>
                <w:sz w:val="24"/>
                <w:szCs w:val="24"/>
                <w:lang w:val="en-GB" w:eastAsia="ja-JP"/>
              </w:rPr>
              <w:t>Compilation Needs</w:t>
            </w:r>
          </w:p>
          <w:p w:rsidR="00C049E0" w:rsidRPr="00C049E0" w:rsidRDefault="00C049E0" w:rsidP="00C049E0">
            <w:pPr>
              <w:suppressAutoHyphens/>
              <w:jc w:val="both"/>
              <w:rPr>
                <w:rFonts w:eastAsia="Times New Roman"/>
                <w:b/>
                <w:sz w:val="24"/>
                <w:szCs w:val="24"/>
                <w:lang w:val="en-GB" w:eastAsia="ar-SA"/>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C15</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Centres are encouraged to scan the domestic journals published in their geographical areas in the past, and to submit a list of the articles missing in EXFOR as done by NDPCI for Indian journals (CP-D/910=WP2017-18).</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C16</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Compilation of data corrected or reassessed by other than the author (REACTION SF9=CRCTD) and data derived by other than the author (REACTION SF9=DEROT) could be useful as long as they are kept under a specialized area (e.g., area V) and the data are published with the procedure to obtain them.</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p>
        </w:tc>
        <w:tc>
          <w:tcPr>
            <w:tcW w:w="8360" w:type="dxa"/>
          </w:tcPr>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9020" w:type="dxa"/>
            <w:gridSpan w:val="2"/>
          </w:tcPr>
          <w:p w:rsidR="00C049E0" w:rsidRPr="00C049E0" w:rsidRDefault="00C049E0" w:rsidP="00C049E0">
            <w:pPr>
              <w:suppressAutoHyphens/>
              <w:jc w:val="both"/>
              <w:rPr>
                <w:b/>
                <w:sz w:val="24"/>
                <w:szCs w:val="24"/>
                <w:lang w:val="en-GB" w:eastAsia="ja-JP"/>
              </w:rPr>
            </w:pPr>
            <w:r w:rsidRPr="00C049E0">
              <w:rPr>
                <w:b/>
                <w:sz w:val="24"/>
                <w:szCs w:val="24"/>
                <w:lang w:val="en-GB" w:eastAsia="ja-JP"/>
              </w:rPr>
              <w:t>EXFOR Quality Control</w:t>
            </w:r>
          </w:p>
          <w:p w:rsidR="00C049E0" w:rsidRPr="00C049E0" w:rsidRDefault="00C049E0" w:rsidP="00C049E0">
            <w:pPr>
              <w:suppressAutoHyphens/>
              <w:jc w:val="both"/>
              <w:rPr>
                <w:b/>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C17</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The NRDC appreciates </w:t>
            </w:r>
            <w:proofErr w:type="spellStart"/>
            <w:r w:rsidRPr="00C049E0">
              <w:rPr>
                <w:sz w:val="24"/>
                <w:szCs w:val="24"/>
                <w:lang w:val="en-GB" w:eastAsia="ja-JP"/>
              </w:rPr>
              <w:t>Emmeric</w:t>
            </w:r>
            <w:proofErr w:type="spellEnd"/>
            <w:r w:rsidRPr="00C049E0">
              <w:rPr>
                <w:sz w:val="24"/>
                <w:szCs w:val="24"/>
                <w:lang w:val="en-GB" w:eastAsia="ja-JP"/>
              </w:rPr>
              <w:t xml:space="preserve"> </w:t>
            </w:r>
            <w:proofErr w:type="spellStart"/>
            <w:r w:rsidRPr="00C049E0">
              <w:rPr>
                <w:sz w:val="24"/>
                <w:szCs w:val="24"/>
                <w:lang w:val="en-GB" w:eastAsia="ja-JP"/>
              </w:rPr>
              <w:t>Dupont</w:t>
            </w:r>
            <w:proofErr w:type="spellEnd"/>
            <w:r w:rsidRPr="00C049E0">
              <w:rPr>
                <w:sz w:val="24"/>
                <w:szCs w:val="24"/>
                <w:lang w:val="en-GB" w:eastAsia="ja-JP"/>
              </w:rPr>
              <w:t xml:space="preserve"> for his systematic assessments of the outliers observed in the JANIS Book for photon and light charged-particle induced reaction cross sections in EXFOR presented in CP-D/926 (=WP2017-25).</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C18</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Compilers are reminded to keep all important alterations (History code A) under the HISTORY records of the affected data subentries.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p>
        </w:tc>
        <w:tc>
          <w:tcPr>
            <w:tcW w:w="8360" w:type="dxa"/>
          </w:tcPr>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9020" w:type="dxa"/>
            <w:gridSpan w:val="2"/>
          </w:tcPr>
          <w:p w:rsidR="00C049E0" w:rsidRPr="00C049E0" w:rsidRDefault="00C049E0" w:rsidP="00C049E0">
            <w:pPr>
              <w:suppressAutoHyphens/>
              <w:jc w:val="both"/>
              <w:rPr>
                <w:rFonts w:eastAsia="Times New Roman"/>
                <w:b/>
                <w:sz w:val="24"/>
                <w:szCs w:val="24"/>
                <w:lang w:val="en-GB" w:eastAsia="ar-SA"/>
              </w:rPr>
            </w:pPr>
            <w:r w:rsidRPr="00C049E0">
              <w:rPr>
                <w:rFonts w:eastAsia="Times New Roman"/>
                <w:b/>
                <w:sz w:val="24"/>
                <w:szCs w:val="24"/>
                <w:lang w:val="en-GB" w:eastAsia="ar-SA"/>
              </w:rPr>
              <w:t>EXFOR Coding Rule</w:t>
            </w:r>
          </w:p>
          <w:p w:rsidR="00C049E0" w:rsidRPr="00C049E0" w:rsidRDefault="00C049E0" w:rsidP="00C049E0">
            <w:pPr>
              <w:suppressAutoHyphens/>
              <w:jc w:val="both"/>
              <w:rPr>
                <w:rFonts w:eastAsia="Times New Roman"/>
                <w:b/>
                <w:sz w:val="24"/>
                <w:szCs w:val="24"/>
                <w:lang w:val="en-GB" w:eastAsia="ar-SA"/>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C19</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The reaction yield divided by areal density (4C-3/406=WP2017-29) will be coded by the quantity </w:t>
            </w:r>
            <w:proofErr w:type="gramStart"/>
            <w:r w:rsidRPr="00C049E0">
              <w:rPr>
                <w:sz w:val="24"/>
                <w:szCs w:val="24"/>
                <w:lang w:val="en-GB" w:eastAsia="ja-JP"/>
              </w:rPr>
              <w:t>code ,SIG</w:t>
            </w:r>
            <w:proofErr w:type="gramEnd"/>
            <w:r w:rsidRPr="00C049E0">
              <w:rPr>
                <w:sz w:val="24"/>
                <w:szCs w:val="24"/>
                <w:lang w:val="en-GB" w:eastAsia="ja-JP"/>
              </w:rPr>
              <w:t>,,TTA.</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C20</w:t>
            </w:r>
          </w:p>
        </w:tc>
        <w:tc>
          <w:tcPr>
            <w:tcW w:w="8360" w:type="dxa"/>
          </w:tcPr>
          <w:p w:rsidR="00C049E0" w:rsidRPr="00C049E0" w:rsidRDefault="00C049E0" w:rsidP="00C049E0">
            <w:pPr>
              <w:widowControl w:val="0"/>
              <w:autoSpaceDE w:val="0"/>
              <w:autoSpaceDN w:val="0"/>
              <w:adjustRightInd w:val="0"/>
              <w:rPr>
                <w:sz w:val="24"/>
                <w:szCs w:val="24"/>
                <w:lang w:val="en-GB" w:eastAsia="ja-JP"/>
              </w:rPr>
            </w:pPr>
            <w:r w:rsidRPr="00C049E0">
              <w:rPr>
                <w:sz w:val="24"/>
                <w:szCs w:val="24"/>
                <w:lang w:val="en-GB" w:eastAsia="ja-JP"/>
              </w:rPr>
              <w:t>HM (half-maximum) will be deleted from the expansions of EN-RSL-HW and EN-RSL-FW and their derivatives, and their details will be explained in free text</w:t>
            </w:r>
            <w:r w:rsidRPr="00C049E0">
              <w:rPr>
                <w:rFonts w:hint="eastAsia"/>
                <w:sz w:val="24"/>
                <w:szCs w:val="24"/>
                <w:lang w:val="en-GB" w:eastAsia="ja-JP"/>
              </w:rPr>
              <w:t xml:space="preserve"> under INC-SPECT</w:t>
            </w:r>
            <w:r w:rsidRPr="00C049E0">
              <w:rPr>
                <w:sz w:val="24"/>
                <w:szCs w:val="24"/>
                <w:lang w:val="en-GB" w:eastAsia="ja-JP"/>
              </w:rPr>
              <w:t xml:space="preserve"> as proposed in CP-D/932 = WP2017-31.</w:t>
            </w:r>
          </w:p>
          <w:p w:rsidR="00C049E0" w:rsidRPr="00C049E0" w:rsidRDefault="00C049E0" w:rsidP="00C049E0">
            <w:pPr>
              <w:widowControl w:val="0"/>
              <w:autoSpaceDE w:val="0"/>
              <w:autoSpaceDN w:val="0"/>
              <w:adjustRightInd w:val="0"/>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lastRenderedPageBreak/>
              <w:t>C21</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(1) If there is an INDC report number for a report coded under REFERENCE, it must be always coded. (2) When a report has two or more report numbers, the primary report number must be always coded. (3) Compilers should keep a uniform style within a series. Compilers are recommended to omit insignificant symbols such as distribution codes if these are not needed to identify a report (e.g., INDC reports).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C22</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The parameter code TMP (temperature-dependent quantity) will be obsolete. Temperature dependent quantities will be indicated by the modifier TMP as proposed in CP-D/928=WP2017-35.</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p>
        </w:tc>
        <w:tc>
          <w:tcPr>
            <w:tcW w:w="8360" w:type="dxa"/>
          </w:tcPr>
          <w:p w:rsidR="00C049E0" w:rsidRPr="00C049E0" w:rsidRDefault="00C049E0" w:rsidP="00C049E0">
            <w:pPr>
              <w:widowControl w:val="0"/>
              <w:autoSpaceDE w:val="0"/>
              <w:autoSpaceDN w:val="0"/>
              <w:adjustRightInd w:val="0"/>
              <w:rPr>
                <w:sz w:val="24"/>
                <w:szCs w:val="24"/>
                <w:lang w:val="en-GB" w:eastAsia="ja-JP"/>
              </w:rPr>
            </w:pPr>
          </w:p>
        </w:tc>
      </w:tr>
      <w:tr w:rsidR="00C049E0" w:rsidRPr="00C049E0" w:rsidTr="00586D83">
        <w:trPr>
          <w:cantSplit/>
        </w:trPr>
        <w:tc>
          <w:tcPr>
            <w:tcW w:w="9020" w:type="dxa"/>
            <w:gridSpan w:val="2"/>
          </w:tcPr>
          <w:p w:rsidR="00C049E0" w:rsidRPr="00C049E0" w:rsidRDefault="00C049E0" w:rsidP="00C049E0">
            <w:pPr>
              <w:widowControl w:val="0"/>
              <w:autoSpaceDE w:val="0"/>
              <w:autoSpaceDN w:val="0"/>
              <w:adjustRightInd w:val="0"/>
              <w:rPr>
                <w:b/>
                <w:sz w:val="24"/>
                <w:szCs w:val="24"/>
                <w:lang w:val="en-GB" w:eastAsia="ja-JP"/>
              </w:rPr>
            </w:pPr>
            <w:r w:rsidRPr="00C049E0">
              <w:rPr>
                <w:b/>
                <w:sz w:val="24"/>
                <w:szCs w:val="24"/>
                <w:lang w:val="en-GB" w:eastAsia="ja-JP"/>
              </w:rPr>
              <w:t>Evaluated Data Libraries</w:t>
            </w:r>
          </w:p>
          <w:p w:rsidR="00C049E0" w:rsidRPr="00C049E0" w:rsidRDefault="00C049E0" w:rsidP="00C049E0">
            <w:pPr>
              <w:widowControl w:val="0"/>
              <w:autoSpaceDE w:val="0"/>
              <w:autoSpaceDN w:val="0"/>
              <w:adjustRightInd w:val="0"/>
              <w:rPr>
                <w:b/>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C23</w:t>
            </w:r>
          </w:p>
        </w:tc>
        <w:tc>
          <w:tcPr>
            <w:tcW w:w="8360" w:type="dxa"/>
          </w:tcPr>
          <w:p w:rsidR="00C049E0" w:rsidRPr="00C049E0" w:rsidRDefault="00C049E0" w:rsidP="00C049E0">
            <w:pPr>
              <w:widowControl w:val="0"/>
              <w:autoSpaceDE w:val="0"/>
              <w:autoSpaceDN w:val="0"/>
              <w:adjustRightInd w:val="0"/>
              <w:rPr>
                <w:sz w:val="24"/>
                <w:szCs w:val="24"/>
                <w:lang w:val="en-GB" w:eastAsia="ja-JP"/>
              </w:rPr>
            </w:pPr>
            <w:r w:rsidRPr="00C049E0">
              <w:rPr>
                <w:sz w:val="24"/>
                <w:szCs w:val="24"/>
                <w:lang w:val="en-GB" w:eastAsia="ja-JP"/>
              </w:rPr>
              <w:t>The NRDC recommends NDS a future CRP for evaluation of fission yield data.</w:t>
            </w:r>
          </w:p>
          <w:p w:rsidR="00C049E0" w:rsidRPr="00C049E0" w:rsidRDefault="00C049E0" w:rsidP="00C049E0">
            <w:pPr>
              <w:widowControl w:val="0"/>
              <w:autoSpaceDE w:val="0"/>
              <w:autoSpaceDN w:val="0"/>
              <w:adjustRightInd w:val="0"/>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C24</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The NRDC has received BROND-3.1 from CJD for dissemination. NRDC appreciate efforts of Marina </w:t>
            </w:r>
            <w:proofErr w:type="spellStart"/>
            <w:r w:rsidRPr="00C049E0">
              <w:rPr>
                <w:sz w:val="24"/>
                <w:szCs w:val="24"/>
                <w:lang w:val="en-GB" w:eastAsia="ja-JP"/>
              </w:rPr>
              <w:t>Mikhailiukova</w:t>
            </w:r>
            <w:proofErr w:type="spellEnd"/>
            <w:r w:rsidRPr="00C049E0">
              <w:rPr>
                <w:sz w:val="24"/>
                <w:szCs w:val="24"/>
                <w:lang w:val="en-GB" w:eastAsia="ja-JP"/>
              </w:rPr>
              <w:t xml:space="preserve"> and Dmitry </w:t>
            </w:r>
            <w:proofErr w:type="spellStart"/>
            <w:r w:rsidRPr="00C049E0">
              <w:rPr>
                <w:sz w:val="24"/>
                <w:szCs w:val="24"/>
                <w:lang w:val="en-GB" w:eastAsia="ja-JP"/>
              </w:rPr>
              <w:t>Voitenkov</w:t>
            </w:r>
            <w:proofErr w:type="spellEnd"/>
            <w:r w:rsidRPr="00C049E0">
              <w:rPr>
                <w:sz w:val="24"/>
                <w:szCs w:val="24"/>
                <w:lang w:val="en-GB" w:eastAsia="ja-JP"/>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p>
        </w:tc>
        <w:tc>
          <w:tcPr>
            <w:tcW w:w="8360" w:type="dxa"/>
          </w:tcPr>
          <w:p w:rsidR="00C049E0" w:rsidRPr="00C049E0" w:rsidRDefault="00C049E0" w:rsidP="00C049E0">
            <w:pPr>
              <w:widowControl w:val="0"/>
              <w:autoSpaceDE w:val="0"/>
              <w:autoSpaceDN w:val="0"/>
              <w:adjustRightInd w:val="0"/>
              <w:rPr>
                <w:sz w:val="24"/>
                <w:szCs w:val="24"/>
                <w:lang w:val="en-GB" w:eastAsia="ja-JP"/>
              </w:rPr>
            </w:pPr>
          </w:p>
        </w:tc>
      </w:tr>
      <w:tr w:rsidR="00C049E0" w:rsidRPr="00C049E0" w:rsidTr="00586D83">
        <w:trPr>
          <w:cantSplit/>
        </w:trPr>
        <w:tc>
          <w:tcPr>
            <w:tcW w:w="9020" w:type="dxa"/>
            <w:gridSpan w:val="2"/>
          </w:tcPr>
          <w:p w:rsidR="00C049E0" w:rsidRPr="00C049E0" w:rsidRDefault="00C049E0" w:rsidP="00C049E0">
            <w:pPr>
              <w:suppressAutoHyphens/>
              <w:jc w:val="both"/>
              <w:rPr>
                <w:rFonts w:eastAsia="Times New Roman"/>
                <w:b/>
                <w:sz w:val="24"/>
                <w:szCs w:val="24"/>
                <w:lang w:val="en-GB" w:eastAsia="ja-JP"/>
              </w:rPr>
            </w:pPr>
            <w:r w:rsidRPr="00C049E0">
              <w:rPr>
                <w:rFonts w:eastAsia="Times New Roman"/>
                <w:b/>
                <w:sz w:val="24"/>
                <w:szCs w:val="24"/>
                <w:lang w:val="en-GB" w:eastAsia="ja-JP"/>
              </w:rPr>
              <w:t>Tools for Compilation and Dissemination</w:t>
            </w:r>
          </w:p>
          <w:p w:rsidR="00C049E0" w:rsidRPr="00C049E0" w:rsidRDefault="00C049E0" w:rsidP="00C049E0">
            <w:pPr>
              <w:suppressAutoHyphens/>
              <w:jc w:val="both"/>
              <w:rPr>
                <w:rFonts w:eastAsia="Times New Roman"/>
                <w:b/>
                <w:sz w:val="24"/>
                <w:szCs w:val="24"/>
                <w:lang w:val="en-GB" w:eastAsia="ar-SA"/>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C25</w:t>
            </w:r>
          </w:p>
        </w:tc>
        <w:tc>
          <w:tcPr>
            <w:tcW w:w="8360" w:type="dxa"/>
          </w:tcPr>
          <w:p w:rsidR="00C049E0" w:rsidRPr="00C049E0" w:rsidRDefault="00C049E0" w:rsidP="00C049E0">
            <w:pPr>
              <w:suppressAutoHyphens/>
              <w:jc w:val="both"/>
              <w:rPr>
                <w:sz w:val="24"/>
                <w:szCs w:val="24"/>
                <w:lang w:val="en-GB" w:eastAsia="ja-JP"/>
              </w:rPr>
            </w:pPr>
            <w:r w:rsidRPr="00C049E0">
              <w:rPr>
                <w:rFonts w:hint="eastAsia"/>
                <w:sz w:val="24"/>
                <w:szCs w:val="24"/>
                <w:lang w:val="en-GB" w:eastAsia="ja-JP"/>
              </w:rPr>
              <w:t>An</w:t>
            </w:r>
            <w:r w:rsidRPr="00C049E0">
              <w:rPr>
                <w:sz w:val="24"/>
                <w:szCs w:val="24"/>
                <w:lang w:val="en-GB" w:eastAsia="ja-JP"/>
              </w:rPr>
              <w:t xml:space="preserve"> improved REACTION input window and floating decimal point number</w:t>
            </w:r>
            <w:r w:rsidRPr="00C049E0">
              <w:rPr>
                <w:rFonts w:hint="eastAsia"/>
                <w:sz w:val="24"/>
                <w:szCs w:val="24"/>
                <w:lang w:val="en-GB" w:eastAsia="ja-JP"/>
              </w:rPr>
              <w:t xml:space="preserve"> processing</w:t>
            </w:r>
            <w:r w:rsidRPr="00C049E0">
              <w:rPr>
                <w:sz w:val="24"/>
                <w:szCs w:val="24"/>
                <w:lang w:val="en-GB" w:eastAsia="ja-JP"/>
              </w:rPr>
              <w:t xml:space="preserve"> </w:t>
            </w:r>
            <w:proofErr w:type="gramStart"/>
            <w:r w:rsidRPr="00C049E0">
              <w:rPr>
                <w:sz w:val="24"/>
                <w:szCs w:val="24"/>
                <w:lang w:val="en-GB" w:eastAsia="ja-JP"/>
              </w:rPr>
              <w:t>are</w:t>
            </w:r>
            <w:proofErr w:type="gramEnd"/>
            <w:r w:rsidRPr="00C049E0">
              <w:rPr>
                <w:sz w:val="24"/>
                <w:szCs w:val="24"/>
                <w:lang w:val="en-GB" w:eastAsia="ja-JP"/>
              </w:rPr>
              <w:t xml:space="preserve"> implemented in the EXFOR-Editor Ver.3.1.</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C26</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 new tool for transformations of Web-</w:t>
            </w:r>
            <w:proofErr w:type="spellStart"/>
            <w:r w:rsidRPr="00C049E0">
              <w:rPr>
                <w:sz w:val="24"/>
                <w:szCs w:val="24"/>
                <w:lang w:val="en-GB" w:eastAsia="ja-JP"/>
              </w:rPr>
              <w:t>ZVView</w:t>
            </w:r>
            <w:proofErr w:type="spellEnd"/>
            <w:r w:rsidRPr="00C049E0">
              <w:rPr>
                <w:sz w:val="24"/>
                <w:szCs w:val="24"/>
                <w:lang w:val="en-GB" w:eastAsia="ja-JP"/>
              </w:rPr>
              <w:t xml:space="preserve"> outputs was developed for validation of data digitized from distorted figure images (WP2017-Z1).</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C27</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Centres should cooperate in EXFOR web dissemination and development (e.g., the EXFOR web system developed by NDS in close cooperation with NNDC.)</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C28</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The NRDC supports further collection of EXFOR pdf files.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C29</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Centres are encouraged to make their library resources (e.g., laboratory reports) public. NDS will draft corresponding letters, if necessary.</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C30</w:t>
            </w:r>
          </w:p>
        </w:tc>
        <w:tc>
          <w:tcPr>
            <w:tcW w:w="8360" w:type="dxa"/>
          </w:tcPr>
          <w:p w:rsidR="00C049E0" w:rsidRPr="00C049E0" w:rsidRDefault="00C049E0" w:rsidP="00C049E0">
            <w:pPr>
              <w:suppressAutoHyphens/>
              <w:jc w:val="both"/>
              <w:rPr>
                <w:sz w:val="24"/>
                <w:szCs w:val="24"/>
                <w:lang w:val="en-GB" w:eastAsia="ja-JP"/>
              </w:rPr>
            </w:pPr>
            <w:bookmarkStart w:id="5" w:name="_GoBack"/>
            <w:bookmarkEnd w:id="5"/>
            <w:r w:rsidRPr="00C049E0">
              <w:rPr>
                <w:sz w:val="24"/>
                <w:szCs w:val="24"/>
                <w:lang w:val="en-GB" w:eastAsia="ja-JP"/>
              </w:rPr>
              <w:t xml:space="preserve">Centres are encouraged to publish numerical data received from the authors as an INDC report so that EXFOR users have access the materials provided by the authors. </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sz w:val="24"/>
                <w:szCs w:val="24"/>
                <w:lang w:val="en-GB" w:eastAsia="ja-JP"/>
              </w:rPr>
              <w:t>C31</w:t>
            </w:r>
          </w:p>
        </w:tc>
        <w:tc>
          <w:tcPr>
            <w:tcW w:w="836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Submission</w:t>
            </w:r>
            <w:r w:rsidRPr="00C049E0">
              <w:rPr>
                <w:rFonts w:hint="eastAsia"/>
                <w:sz w:val="24"/>
                <w:szCs w:val="24"/>
                <w:lang w:val="en-GB" w:eastAsia="ja-JP"/>
              </w:rPr>
              <w:t xml:space="preserve"> of EXFOR promotion materials (booklet and poster) </w:t>
            </w:r>
            <w:r w:rsidRPr="00C049E0">
              <w:rPr>
                <w:sz w:val="24"/>
                <w:szCs w:val="24"/>
                <w:lang w:val="en-GB" w:eastAsia="ja-JP"/>
              </w:rPr>
              <w:t xml:space="preserve">prepared by CNPD </w:t>
            </w:r>
            <w:r w:rsidRPr="00C049E0">
              <w:rPr>
                <w:rFonts w:hint="eastAsia"/>
                <w:sz w:val="24"/>
                <w:szCs w:val="24"/>
                <w:lang w:val="en-GB" w:eastAsia="ja-JP"/>
              </w:rPr>
              <w:t>was appreciated by the NRDC</w:t>
            </w:r>
            <w:r w:rsidRPr="00C049E0">
              <w:rPr>
                <w:sz w:val="24"/>
                <w:szCs w:val="24"/>
                <w:lang w:val="en-GB" w:eastAsia="ja-JP"/>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r w:rsidRPr="00C049E0">
              <w:rPr>
                <w:rFonts w:hint="eastAsia"/>
                <w:sz w:val="24"/>
                <w:szCs w:val="24"/>
                <w:lang w:val="en-GB" w:eastAsia="ja-JP"/>
              </w:rPr>
              <w:t>C</w:t>
            </w:r>
            <w:r w:rsidRPr="00C049E0">
              <w:rPr>
                <w:sz w:val="24"/>
                <w:szCs w:val="24"/>
                <w:lang w:val="en-GB" w:eastAsia="ja-JP"/>
              </w:rPr>
              <w:t>32</w:t>
            </w:r>
          </w:p>
        </w:tc>
        <w:tc>
          <w:tcPr>
            <w:tcW w:w="8360" w:type="dxa"/>
          </w:tcPr>
          <w:p w:rsidR="00C049E0" w:rsidRPr="00C049E0" w:rsidRDefault="00C049E0" w:rsidP="00C049E0">
            <w:pPr>
              <w:suppressAutoHyphens/>
              <w:jc w:val="both"/>
              <w:rPr>
                <w:sz w:val="24"/>
                <w:szCs w:val="24"/>
                <w:lang w:val="en-GB" w:eastAsia="ja-JP"/>
              </w:rPr>
            </w:pPr>
            <w:r w:rsidRPr="00C049E0">
              <w:rPr>
                <w:rFonts w:hint="eastAsia"/>
                <w:sz w:val="24"/>
                <w:szCs w:val="24"/>
                <w:lang w:val="en-GB" w:eastAsia="ja-JP"/>
              </w:rPr>
              <w:t xml:space="preserve">An EXFOR output (like the computational format) for directly measured and </w:t>
            </w:r>
            <w:r w:rsidRPr="00C049E0">
              <w:rPr>
                <w:sz w:val="24"/>
                <w:szCs w:val="24"/>
                <w:lang w:val="en-GB" w:eastAsia="ja-JP"/>
              </w:rPr>
              <w:t>indirectly</w:t>
            </w:r>
            <w:r w:rsidRPr="00C049E0">
              <w:rPr>
                <w:rFonts w:hint="eastAsia"/>
                <w:sz w:val="24"/>
                <w:szCs w:val="24"/>
                <w:lang w:val="en-GB" w:eastAsia="ja-JP"/>
              </w:rPr>
              <w:t xml:space="preserve"> measured (e.g., by a surrogate reaction) fission yields could be useful.</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660" w:type="dxa"/>
          </w:tcPr>
          <w:p w:rsidR="00C049E0" w:rsidRPr="00C049E0" w:rsidRDefault="00C049E0" w:rsidP="00C049E0">
            <w:pPr>
              <w:suppressAutoHyphens/>
              <w:rPr>
                <w:sz w:val="24"/>
                <w:szCs w:val="24"/>
                <w:lang w:val="en-GB" w:eastAsia="ja-JP"/>
              </w:rPr>
            </w:pPr>
          </w:p>
        </w:tc>
        <w:tc>
          <w:tcPr>
            <w:tcW w:w="8360" w:type="dxa"/>
          </w:tcPr>
          <w:p w:rsidR="00C049E0" w:rsidRPr="00C049E0" w:rsidRDefault="00C049E0" w:rsidP="00C049E0">
            <w:pPr>
              <w:suppressAutoHyphens/>
              <w:jc w:val="both"/>
              <w:rPr>
                <w:sz w:val="24"/>
                <w:szCs w:val="24"/>
                <w:lang w:val="en-GB" w:eastAsia="ja-JP"/>
              </w:rPr>
            </w:pPr>
          </w:p>
        </w:tc>
      </w:tr>
    </w:tbl>
    <w:p w:rsidR="00C049E0" w:rsidRPr="00C049E0" w:rsidRDefault="00C049E0" w:rsidP="00C049E0">
      <w:pPr>
        <w:rPr>
          <w:lang w:val="en-GB" w:eastAsia="ja-JP"/>
        </w:rPr>
      </w:pPr>
    </w:p>
    <w:p w:rsidR="00C049E0" w:rsidRDefault="00C049E0" w:rsidP="00C049E0">
      <w:pPr>
        <w:keepNext/>
        <w:spacing w:before="240" w:after="60"/>
        <w:jc w:val="center"/>
        <w:outlineLvl w:val="1"/>
        <w:rPr>
          <w:rFonts w:cs="Arial"/>
          <w:b/>
          <w:bCs/>
          <w:iCs/>
          <w:sz w:val="28"/>
          <w:szCs w:val="28"/>
          <w:lang w:val="en-GB"/>
        </w:rPr>
      </w:pPr>
      <w:bookmarkStart w:id="6" w:name="_Toc266801388"/>
      <w:bookmarkStart w:id="7" w:name="_Toc326589831"/>
      <w:bookmarkStart w:id="8" w:name="_Toc326594258"/>
      <w:bookmarkStart w:id="9" w:name="_Toc457287393"/>
      <w:r w:rsidRPr="00C049E0">
        <w:rPr>
          <w:rFonts w:cs="Arial"/>
          <w:b/>
          <w:bCs/>
          <w:iCs/>
          <w:sz w:val="28"/>
          <w:szCs w:val="28"/>
          <w:lang w:val="en-GB"/>
        </w:rPr>
        <w:lastRenderedPageBreak/>
        <w:t>Actions</w:t>
      </w:r>
      <w:bookmarkEnd w:id="4"/>
      <w:bookmarkEnd w:id="6"/>
      <w:bookmarkEnd w:id="7"/>
      <w:bookmarkEnd w:id="8"/>
      <w:bookmarkEnd w:id="9"/>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630"/>
        <w:gridCol w:w="6620"/>
      </w:tblGrid>
      <w:tr w:rsidR="00C049E0" w:rsidRPr="00C049E0" w:rsidTr="00586D83">
        <w:trPr>
          <w:cantSplit/>
        </w:trPr>
        <w:tc>
          <w:tcPr>
            <w:tcW w:w="9000" w:type="dxa"/>
            <w:gridSpan w:val="3"/>
          </w:tcPr>
          <w:p w:rsidR="00C049E0" w:rsidRPr="00C049E0" w:rsidRDefault="00C049E0" w:rsidP="00C049E0">
            <w:pPr>
              <w:suppressAutoHyphens/>
              <w:rPr>
                <w:b/>
                <w:sz w:val="24"/>
                <w:szCs w:val="24"/>
                <w:lang w:val="en-GB" w:eastAsia="ar-SA"/>
              </w:rPr>
            </w:pPr>
            <w:r w:rsidRPr="00C049E0">
              <w:rPr>
                <w:b/>
                <w:sz w:val="24"/>
                <w:szCs w:val="24"/>
                <w:lang w:val="en-GB" w:eastAsia="ar-SA"/>
              </w:rPr>
              <w:t>EXFOR General</w:t>
            </w:r>
          </w:p>
          <w:p w:rsidR="00C049E0" w:rsidRPr="00C049E0" w:rsidRDefault="00C049E0" w:rsidP="00C049E0">
            <w:pPr>
              <w:suppressAutoHyphens/>
              <w:rPr>
                <w:b/>
                <w:sz w:val="24"/>
                <w:szCs w:val="24"/>
                <w:lang w:val="en-GB" w:eastAsia="ar-SA"/>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A1</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 xml:space="preserve">(Standing action) </w:t>
            </w:r>
            <w:r w:rsidRPr="00C049E0">
              <w:rPr>
                <w:sz w:val="24"/>
                <w:szCs w:val="24"/>
                <w:lang w:val="en-GB" w:eastAsia="ja-JP"/>
              </w:rPr>
              <w:t xml:space="preserve">Give the highest priority </w:t>
            </w:r>
            <w:r w:rsidRPr="00C049E0">
              <w:rPr>
                <w:sz w:val="24"/>
                <w:szCs w:val="24"/>
                <w:lang w:val="en-GB" w:eastAsia="ar-SA"/>
              </w:rPr>
              <w:t>to compil</w:t>
            </w:r>
            <w:r w:rsidRPr="00C049E0">
              <w:rPr>
                <w:sz w:val="24"/>
                <w:szCs w:val="24"/>
                <w:lang w:val="en-GB" w:eastAsia="ja-JP"/>
              </w:rPr>
              <w:t>ation of</w:t>
            </w:r>
            <w:r w:rsidRPr="00C049E0">
              <w:rPr>
                <w:sz w:val="24"/>
                <w:szCs w:val="24"/>
                <w:lang w:val="en-GB" w:eastAsia="ar-SA"/>
              </w:rPr>
              <w:t xml:space="preserve"> new </w:t>
            </w:r>
            <w:r w:rsidRPr="00C049E0">
              <w:rPr>
                <w:sz w:val="24"/>
                <w:szCs w:val="24"/>
                <w:lang w:val="en-GB" w:eastAsia="ja-JP"/>
              </w:rPr>
              <w:t>articles</w:t>
            </w:r>
            <w:r w:rsidRPr="00C049E0">
              <w:rPr>
                <w:sz w:val="24"/>
                <w:szCs w:val="24"/>
                <w:lang w:val="en-GB" w:eastAsia="ar-SA"/>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A2</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(Standing action) Correct erroneous entries listed on the EXFOR Feedback List according to the indicated priorities. All urgent corrections must be done by the next meeting.</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A3</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Revise the initial draft of the table of contents for the EXFOR reference paper (WP2017-07) as per the comments from the centres.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A4</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Propose Otsuka</w:t>
            </w:r>
            <w:r w:rsidRPr="00C049E0">
              <w:rPr>
                <w:rFonts w:hint="eastAsia"/>
                <w:sz w:val="24"/>
                <w:szCs w:val="24"/>
                <w:lang w:val="en-GB" w:eastAsia="ja-JP"/>
              </w:rPr>
              <w:t xml:space="preserve"> by the end of 2017</w:t>
            </w:r>
            <w:r w:rsidRPr="00C049E0">
              <w:rPr>
                <w:sz w:val="24"/>
                <w:szCs w:val="24"/>
                <w:lang w:val="en-GB" w:eastAsia="ja-JP"/>
              </w:rPr>
              <w:t xml:space="preserve"> (1) corrections and additions to the initial draft of the table of contents for the EXFOR reference paper (WP2017-07), and also (2) topics to which the centre will be responsible.</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p>
        </w:tc>
        <w:tc>
          <w:tcPr>
            <w:tcW w:w="1630" w:type="dxa"/>
          </w:tcPr>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9000" w:type="dxa"/>
            <w:gridSpan w:val="3"/>
          </w:tcPr>
          <w:p w:rsidR="00C049E0" w:rsidRPr="00C049E0" w:rsidRDefault="00C049E0" w:rsidP="00C049E0">
            <w:pPr>
              <w:suppressAutoHyphens/>
              <w:jc w:val="both"/>
              <w:rPr>
                <w:b/>
                <w:sz w:val="24"/>
                <w:szCs w:val="24"/>
                <w:lang w:val="en-GB" w:eastAsia="ar-SA"/>
              </w:rPr>
            </w:pPr>
            <w:r w:rsidRPr="00C049E0">
              <w:rPr>
                <w:b/>
                <w:sz w:val="24"/>
                <w:szCs w:val="24"/>
                <w:lang w:val="en-GB" w:eastAsia="ja-JP"/>
              </w:rPr>
              <w:t>Manuals and D</w:t>
            </w:r>
            <w:r w:rsidRPr="00C049E0">
              <w:rPr>
                <w:b/>
                <w:sz w:val="24"/>
                <w:szCs w:val="24"/>
                <w:lang w:val="en-GB" w:eastAsia="ar-SA"/>
              </w:rPr>
              <w:t>ictionaries</w:t>
            </w:r>
          </w:p>
          <w:p w:rsidR="00C049E0" w:rsidRPr="00C049E0" w:rsidRDefault="00C049E0" w:rsidP="00C049E0">
            <w:pPr>
              <w:suppressAutoHyphens/>
              <w:jc w:val="both"/>
              <w:rPr>
                <w:b/>
                <w:sz w:val="24"/>
                <w:szCs w:val="24"/>
                <w:lang w:val="en-GB" w:eastAsia="ar-SA"/>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A5</w:t>
            </w:r>
          </w:p>
        </w:tc>
        <w:tc>
          <w:tcPr>
            <w:tcW w:w="1630" w:type="dxa"/>
          </w:tcPr>
          <w:p w:rsidR="00C049E0" w:rsidRPr="00C049E0" w:rsidRDefault="00C049E0" w:rsidP="00C049E0">
            <w:pPr>
              <w:suppressAutoHyphens/>
              <w:jc w:val="both"/>
              <w:rPr>
                <w:sz w:val="24"/>
                <w:szCs w:val="24"/>
                <w:lang w:val="en-GB" w:eastAsia="ar-SA"/>
              </w:rPr>
            </w:pPr>
            <w:r w:rsidRPr="00C049E0">
              <w:rPr>
                <w:sz w:val="24"/>
                <w:szCs w:val="24"/>
                <w:lang w:val="en-GB" w:eastAsia="ar-SA"/>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 xml:space="preserve">(Continuing </w:t>
            </w:r>
            <w:r w:rsidRPr="00C049E0">
              <w:rPr>
                <w:sz w:val="24"/>
                <w:szCs w:val="24"/>
                <w:lang w:val="en-GB" w:eastAsia="ja-JP"/>
              </w:rPr>
              <w:t>a</w:t>
            </w:r>
            <w:r w:rsidRPr="00C049E0">
              <w:rPr>
                <w:sz w:val="24"/>
                <w:szCs w:val="24"/>
                <w:lang w:val="en-GB" w:eastAsia="ar-SA"/>
              </w:rPr>
              <w:t xml:space="preserve">ction) Update Dictionaries every </w:t>
            </w:r>
            <w:r w:rsidRPr="00C049E0">
              <w:rPr>
                <w:sz w:val="24"/>
                <w:szCs w:val="24"/>
                <w:lang w:val="en-GB" w:eastAsia="ja-JP"/>
              </w:rPr>
              <w:t>four</w:t>
            </w:r>
            <w:r w:rsidRPr="00C049E0">
              <w:rPr>
                <w:sz w:val="24"/>
                <w:szCs w:val="24"/>
                <w:lang w:val="en-GB" w:eastAsia="ar-SA"/>
              </w:rPr>
              <w:t xml:space="preserve"> months.</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A6</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Revise the EXFOR Formats Manual for (1) </w:t>
            </w:r>
            <w:r w:rsidRPr="00C049E0">
              <w:rPr>
                <w:sz w:val="24"/>
                <w:szCs w:val="24"/>
                <w:lang w:val="en-GB" w:eastAsia="ar-SA"/>
              </w:rPr>
              <w:t>“DECAY-DATA” and “RAD-DET”</w:t>
            </w:r>
            <w:r w:rsidRPr="00C049E0">
              <w:rPr>
                <w:sz w:val="24"/>
                <w:szCs w:val="24"/>
                <w:lang w:val="en-GB" w:eastAsia="ja-JP"/>
              </w:rPr>
              <w:t xml:space="preserve"> (CP-D/874=WP2016-28), (2) “Reaction specification” (CP-D/880 Rev.=WP2016-29, CP-D/896=WP2016-33), (3) “LEVEL-PROP” (CP-D/882=WP2016-30), (4) “ERR-ANALYS” (CP-D/894 Rev.=WP2016-32), (5) “FACILITY” (CP-D/899=WP2016-34), (6) “REFERENCE” (CP-C/452=WP2017-08, CP-D/920=WP2017-33, (7) “STATUS” (CP-D/915=WP2017-09), (8) “INC-SPECT” (CP-D/932=WP2017-31).</w:t>
            </w:r>
          </w:p>
          <w:p w:rsidR="00C049E0" w:rsidRPr="00C049E0" w:rsidRDefault="00C049E0" w:rsidP="00C049E0">
            <w:pPr>
              <w:suppressAutoHyphens/>
              <w:jc w:val="both"/>
              <w:rPr>
                <w:strike/>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A7</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Revise LEXFOR for (1) </w:t>
            </w:r>
            <w:r w:rsidRPr="00C049E0">
              <w:rPr>
                <w:sz w:val="24"/>
                <w:szCs w:val="24"/>
                <w:lang w:val="en-GB" w:eastAsia="ar-SA"/>
              </w:rPr>
              <w:t xml:space="preserve">"Thermal Neutron Scattering" (4C-3/403 </w:t>
            </w:r>
            <w:r w:rsidRPr="00C049E0">
              <w:rPr>
                <w:sz w:val="24"/>
                <w:szCs w:val="24"/>
                <w:lang w:val="en-GB" w:eastAsia="ja-JP"/>
              </w:rPr>
              <w:t>=WP2016-08</w:t>
            </w:r>
            <w:r w:rsidRPr="00C049E0">
              <w:rPr>
                <w:sz w:val="24"/>
                <w:szCs w:val="24"/>
                <w:lang w:val="en-GB" w:eastAsia="ar-SA"/>
              </w:rPr>
              <w:t>)</w:t>
            </w:r>
            <w:r w:rsidRPr="00C049E0">
              <w:rPr>
                <w:sz w:val="24"/>
                <w:szCs w:val="24"/>
                <w:lang w:val="en-GB" w:eastAsia="ja-JP"/>
              </w:rPr>
              <w:t xml:space="preserve">, (2) </w:t>
            </w:r>
            <w:r w:rsidRPr="00C049E0">
              <w:rPr>
                <w:sz w:val="24"/>
                <w:szCs w:val="24"/>
                <w:lang w:val="en-GB" w:eastAsia="ar-SA"/>
              </w:rPr>
              <w:t>“Fission Yields” (CP-D/895</w:t>
            </w:r>
            <w:r w:rsidRPr="00C049E0">
              <w:rPr>
                <w:sz w:val="24"/>
                <w:szCs w:val="24"/>
                <w:lang w:val="en-GB" w:eastAsia="ja-JP"/>
              </w:rPr>
              <w:t>=WP2016-09</w:t>
            </w:r>
            <w:r w:rsidRPr="00C049E0">
              <w:rPr>
                <w:sz w:val="24"/>
                <w:szCs w:val="24"/>
                <w:lang w:val="en-GB" w:eastAsia="ar-SA"/>
              </w:rPr>
              <w:t>)</w:t>
            </w:r>
            <w:r w:rsidRPr="00C049E0">
              <w:rPr>
                <w:sz w:val="24"/>
                <w:szCs w:val="24"/>
                <w:lang w:val="en-GB" w:eastAsia="ja-JP"/>
              </w:rPr>
              <w:t>, (3) “Thick- and thin-target yields” (CP-D/893=WP2016-31), (4) “Isomeric flags” (CP-D/896=WP2016-33), (5) “Status” (CP-D/904=WP2016-35, CP-C/443=WP2016-36), (6) “Sample” (CP-D/928=WP2017-35).</w:t>
            </w:r>
          </w:p>
          <w:p w:rsidR="00C049E0" w:rsidRPr="00C049E0" w:rsidRDefault="00C049E0" w:rsidP="00C049E0">
            <w:pPr>
              <w:suppressAutoHyphens/>
              <w:jc w:val="both"/>
              <w:rPr>
                <w:strike/>
                <w:sz w:val="24"/>
                <w:szCs w:val="24"/>
                <w:u w:val="single"/>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A8</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Revise the EXFOR/CINDA Dictionary Manual for the contents of the dictionary 227 (CP-D/917=WP2017-10).</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A9</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Add explanation on the usage of VDG and VDGT for </w:t>
            </w:r>
            <w:proofErr w:type="spellStart"/>
            <w:r w:rsidRPr="00C049E0">
              <w:rPr>
                <w:sz w:val="24"/>
                <w:szCs w:val="24"/>
                <w:lang w:val="en-GB" w:eastAsia="ja-JP"/>
              </w:rPr>
              <w:t>Pelletrons</w:t>
            </w:r>
            <w:proofErr w:type="spellEnd"/>
            <w:r w:rsidRPr="00C049E0">
              <w:rPr>
                <w:sz w:val="24"/>
                <w:szCs w:val="24"/>
                <w:lang w:val="en-GB" w:eastAsia="ja-JP"/>
              </w:rPr>
              <w:t xml:space="preserve"> in dictionary 18 (CP-D/922=WP2017-12).</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A10</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Make the analysis code RFN obsolete (CP-D/931=WP2017-13).</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lastRenderedPageBreak/>
              <w:t>A11</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Submit a revision of LEXFOR “Multilevel Resonance Parameters” to clarify the relation of the R-function formalism and Reich-Moore formalism (CP-D/931=WP2017-13).</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A12</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Make the branch code MAS and quantity codes having MAS obsolete (CP-D/929=WP2017-14).</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A13</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Submit a revised EXFOR Formats “Reference” according to Conclusion 10 (Coding of INDC report number and primary report number etc. See also CP-D/912=WP2017-34).</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A14</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Make the parameter code TMP and quantity codes having TMP obsolete (CP-D/928=WP2017-35). Also add the new modifier code and relevant quantity codes to the dictionary.</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A15</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Check if all typical combinations of the fields and subfields are provided as examples in </w:t>
            </w:r>
            <w:r w:rsidRPr="00C049E0">
              <w:rPr>
                <w:rFonts w:hint="eastAsia"/>
                <w:sz w:val="24"/>
                <w:szCs w:val="24"/>
                <w:lang w:val="en-GB" w:eastAsia="ja-JP"/>
              </w:rPr>
              <w:t xml:space="preserve">the </w:t>
            </w:r>
            <w:r w:rsidRPr="00C049E0">
              <w:rPr>
                <w:sz w:val="24"/>
                <w:szCs w:val="24"/>
                <w:lang w:val="en-GB" w:eastAsia="ja-JP"/>
              </w:rPr>
              <w:t>EXFOR Formats Manual “REFERENCE”.</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A16</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Zerkin</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Summarize the role of family flags (also known as family codes, c.f. EXFOR Formats Manual Chapter 6) in systems (c.f. WP2017-11).</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A17</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Soppera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Check if there is a field or subfield which cannot be uniquely identified within the current coding rule described in the revised EXFOR Formats Manual “REFERENCE” (CP-D/920=WP2017-33).</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349"/>
        </w:trPr>
        <w:tc>
          <w:tcPr>
            <w:tcW w:w="750" w:type="dxa"/>
          </w:tcPr>
          <w:p w:rsidR="00C049E0" w:rsidRPr="00C049E0" w:rsidRDefault="00C049E0" w:rsidP="00C049E0">
            <w:pPr>
              <w:suppressAutoHyphens/>
              <w:jc w:val="both"/>
              <w:rPr>
                <w:sz w:val="24"/>
                <w:szCs w:val="24"/>
                <w:lang w:val="en-GB" w:eastAsia="ja-JP"/>
              </w:rPr>
            </w:pPr>
          </w:p>
        </w:tc>
        <w:tc>
          <w:tcPr>
            <w:tcW w:w="1630" w:type="dxa"/>
          </w:tcPr>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p>
        </w:tc>
      </w:tr>
      <w:tr w:rsidR="00C049E0" w:rsidRPr="00C049E0" w:rsidTr="00586D83">
        <w:trPr>
          <w:cantSplit/>
          <w:trHeight w:val="70"/>
        </w:trPr>
        <w:tc>
          <w:tcPr>
            <w:tcW w:w="9000" w:type="dxa"/>
            <w:gridSpan w:val="3"/>
          </w:tcPr>
          <w:p w:rsidR="00C049E0" w:rsidRPr="00C049E0" w:rsidRDefault="00C049E0" w:rsidP="00C049E0">
            <w:pPr>
              <w:suppressAutoHyphens/>
              <w:jc w:val="both"/>
              <w:rPr>
                <w:b/>
                <w:sz w:val="24"/>
                <w:szCs w:val="24"/>
                <w:lang w:val="en-GB" w:eastAsia="ar-SA"/>
              </w:rPr>
            </w:pPr>
            <w:r w:rsidRPr="00C049E0">
              <w:rPr>
                <w:b/>
                <w:sz w:val="24"/>
                <w:szCs w:val="24"/>
                <w:lang w:val="en-GB" w:eastAsia="ar-SA"/>
              </w:rPr>
              <w:t>CINDA</w:t>
            </w:r>
          </w:p>
          <w:p w:rsidR="00C049E0" w:rsidRPr="00C049E0" w:rsidRDefault="00C049E0" w:rsidP="00C049E0">
            <w:pPr>
              <w:suppressAutoHyphens/>
              <w:jc w:val="both"/>
              <w:rPr>
                <w:b/>
                <w:sz w:val="24"/>
                <w:szCs w:val="24"/>
                <w:lang w:val="en-GB" w:eastAsia="ar-SA"/>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A</w:t>
            </w:r>
            <w:r w:rsidRPr="00C049E0">
              <w:rPr>
                <w:sz w:val="24"/>
                <w:szCs w:val="24"/>
                <w:lang w:val="en-GB" w:eastAsia="ja-JP"/>
              </w:rPr>
              <w:t>18</w:t>
            </w:r>
          </w:p>
        </w:tc>
        <w:tc>
          <w:tcPr>
            <w:tcW w:w="1630" w:type="dxa"/>
          </w:tcPr>
          <w:p w:rsidR="00C049E0" w:rsidRPr="00C049E0" w:rsidRDefault="00C049E0" w:rsidP="00C049E0">
            <w:pPr>
              <w:suppressAutoHyphens/>
              <w:jc w:val="both"/>
              <w:rPr>
                <w:sz w:val="24"/>
                <w:szCs w:val="24"/>
                <w:lang w:val="en-GB" w:eastAsia="ar-SA"/>
              </w:rPr>
            </w:pPr>
            <w:proofErr w:type="spellStart"/>
            <w:r w:rsidRPr="00C049E0">
              <w:rPr>
                <w:sz w:val="24"/>
                <w:szCs w:val="24"/>
                <w:lang w:val="en-GB" w:eastAsia="ar-SA"/>
              </w:rPr>
              <w:t>Zerkin</w:t>
            </w:r>
            <w:proofErr w:type="spellEnd"/>
          </w:p>
        </w:tc>
        <w:tc>
          <w:tcPr>
            <w:tcW w:w="6620" w:type="dxa"/>
          </w:tcPr>
          <w:p w:rsidR="00C049E0" w:rsidRPr="00C049E0" w:rsidRDefault="00C049E0" w:rsidP="00C049E0">
            <w:pPr>
              <w:suppressAutoHyphens/>
              <w:ind w:firstLine="17"/>
              <w:jc w:val="both"/>
              <w:rPr>
                <w:sz w:val="24"/>
                <w:szCs w:val="24"/>
                <w:lang w:val="en-GB" w:eastAsia="ja-JP"/>
              </w:rPr>
            </w:pPr>
            <w:r w:rsidRPr="00C049E0">
              <w:rPr>
                <w:sz w:val="24"/>
                <w:szCs w:val="24"/>
                <w:lang w:val="en-GB" w:eastAsia="ja-JP"/>
              </w:rPr>
              <w:t>(Continuing action) Export</w:t>
            </w:r>
            <w:r w:rsidRPr="00C049E0">
              <w:rPr>
                <w:sz w:val="24"/>
                <w:szCs w:val="24"/>
                <w:lang w:val="en-GB" w:eastAsia="ar-SA"/>
              </w:rPr>
              <w:t xml:space="preserve"> EXFOR </w:t>
            </w:r>
            <w:r w:rsidRPr="00C049E0">
              <w:rPr>
                <w:sz w:val="24"/>
                <w:szCs w:val="24"/>
                <w:lang w:val="en-GB" w:eastAsia="ja-JP"/>
              </w:rPr>
              <w:t xml:space="preserve">and NSR </w:t>
            </w:r>
            <w:r w:rsidRPr="00C049E0">
              <w:rPr>
                <w:sz w:val="24"/>
                <w:szCs w:val="24"/>
                <w:lang w:val="en-GB" w:eastAsia="ar-SA"/>
              </w:rPr>
              <w:t>to CINDA</w:t>
            </w:r>
            <w:r w:rsidRPr="00C049E0">
              <w:rPr>
                <w:sz w:val="24"/>
                <w:szCs w:val="24"/>
                <w:lang w:val="en-GB" w:eastAsia="ja-JP"/>
              </w:rPr>
              <w:t>, and distribute it to other Centres every month.</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ar-SA"/>
              </w:rPr>
            </w:pPr>
          </w:p>
        </w:tc>
        <w:tc>
          <w:tcPr>
            <w:tcW w:w="1630" w:type="dxa"/>
          </w:tcPr>
          <w:p w:rsidR="00C049E0" w:rsidRPr="00C049E0" w:rsidRDefault="00C049E0" w:rsidP="00C049E0">
            <w:pPr>
              <w:suppressAutoHyphens/>
              <w:jc w:val="both"/>
              <w:rPr>
                <w:sz w:val="24"/>
                <w:szCs w:val="24"/>
                <w:lang w:val="en-GB" w:eastAsia="ar-SA"/>
              </w:rPr>
            </w:pPr>
          </w:p>
        </w:tc>
        <w:tc>
          <w:tcPr>
            <w:tcW w:w="6620" w:type="dxa"/>
          </w:tcPr>
          <w:p w:rsidR="00C049E0" w:rsidRPr="00C049E0" w:rsidRDefault="00C049E0" w:rsidP="00C049E0">
            <w:pPr>
              <w:suppressAutoHyphens/>
              <w:ind w:firstLine="17"/>
              <w:jc w:val="both"/>
              <w:rPr>
                <w:sz w:val="24"/>
                <w:szCs w:val="24"/>
                <w:lang w:val="en-GB" w:eastAsia="ja-JP"/>
              </w:rPr>
            </w:pPr>
          </w:p>
        </w:tc>
      </w:tr>
      <w:tr w:rsidR="00C049E0" w:rsidRPr="00C049E0" w:rsidTr="00586D83">
        <w:trPr>
          <w:cantSplit/>
        </w:trPr>
        <w:tc>
          <w:tcPr>
            <w:tcW w:w="9000" w:type="dxa"/>
            <w:gridSpan w:val="3"/>
          </w:tcPr>
          <w:p w:rsidR="00C049E0" w:rsidRPr="00C049E0" w:rsidRDefault="00C049E0" w:rsidP="00C049E0">
            <w:pPr>
              <w:suppressAutoHyphens/>
              <w:jc w:val="both"/>
              <w:rPr>
                <w:b/>
                <w:sz w:val="24"/>
                <w:szCs w:val="24"/>
                <w:lang w:val="en-GB" w:eastAsia="ja-JP"/>
              </w:rPr>
            </w:pPr>
            <w:r w:rsidRPr="00C049E0">
              <w:rPr>
                <w:b/>
                <w:sz w:val="24"/>
                <w:szCs w:val="24"/>
                <w:lang w:val="en-GB" w:eastAsia="ar-SA"/>
              </w:rPr>
              <w:t xml:space="preserve">EXFOR </w:t>
            </w:r>
            <w:r w:rsidRPr="00C049E0">
              <w:rPr>
                <w:b/>
                <w:sz w:val="24"/>
                <w:szCs w:val="24"/>
                <w:lang w:val="en-GB" w:eastAsia="ja-JP"/>
              </w:rPr>
              <w:t>Compilation Needs</w:t>
            </w:r>
          </w:p>
          <w:p w:rsidR="00C049E0" w:rsidRPr="00C049E0" w:rsidRDefault="00C049E0" w:rsidP="00C049E0">
            <w:pPr>
              <w:suppressAutoHyphens/>
              <w:jc w:val="both"/>
              <w:rPr>
                <w:sz w:val="24"/>
                <w:szCs w:val="24"/>
                <w:lang w:val="en-GB" w:eastAsia="ar-SA"/>
              </w:rPr>
            </w:pPr>
            <w:r w:rsidRPr="00C049E0">
              <w:rPr>
                <w:b/>
                <w:sz w:val="24"/>
                <w:szCs w:val="24"/>
                <w:lang w:val="en-GB" w:eastAsia="ar-SA"/>
              </w:rPr>
              <w:t>(</w:t>
            </w:r>
            <w:r w:rsidRPr="00C049E0">
              <w:rPr>
                <w:sz w:val="24"/>
                <w:szCs w:val="24"/>
                <w:lang w:val="en-GB" w:eastAsia="ar-SA"/>
              </w:rPr>
              <w:t>Underlined items are registered in</w:t>
            </w:r>
            <w:r w:rsidRPr="00C049E0">
              <w:rPr>
                <w:b/>
                <w:sz w:val="24"/>
                <w:szCs w:val="24"/>
                <w:lang w:val="en-GB" w:eastAsia="ar-SA"/>
              </w:rPr>
              <w:t xml:space="preserve"> </w:t>
            </w:r>
            <w:r w:rsidRPr="00C049E0">
              <w:rPr>
                <w:sz w:val="24"/>
                <w:szCs w:val="24"/>
                <w:lang w:val="en-GB" w:eastAsia="ar-SA"/>
              </w:rPr>
              <w:t>the Article Allocation List.)</w:t>
            </w:r>
          </w:p>
          <w:p w:rsidR="00C049E0" w:rsidRPr="00C049E0" w:rsidRDefault="00C049E0" w:rsidP="00C049E0">
            <w:pPr>
              <w:suppressAutoHyphens/>
              <w:jc w:val="both"/>
              <w:rPr>
                <w:b/>
                <w:sz w:val="24"/>
                <w:szCs w:val="24"/>
                <w:lang w:val="en-GB" w:eastAsia="ar-SA"/>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A19</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tc>
        <w:tc>
          <w:tcPr>
            <w:tcW w:w="6620" w:type="dxa"/>
          </w:tcPr>
          <w:p w:rsidR="00C049E0" w:rsidRPr="00C049E0" w:rsidRDefault="00C049E0" w:rsidP="00C049E0">
            <w:pPr>
              <w:widowControl w:val="0"/>
              <w:suppressAutoHyphens/>
              <w:jc w:val="both"/>
              <w:rPr>
                <w:sz w:val="24"/>
                <w:szCs w:val="24"/>
                <w:lang w:val="en-GB" w:eastAsia="ja-JP"/>
              </w:rPr>
            </w:pPr>
            <w:r w:rsidRPr="00C049E0">
              <w:rPr>
                <w:sz w:val="24"/>
                <w:szCs w:val="24"/>
                <w:lang w:val="en-GB" w:eastAsia="ja-JP"/>
              </w:rPr>
              <w:t>(Continuing action) Compile with priority the β-delayed neutron spectra published in the articles listed in the table of CP-D/837.</w:t>
            </w:r>
          </w:p>
          <w:p w:rsidR="00C049E0" w:rsidRPr="00C049E0" w:rsidRDefault="00C049E0" w:rsidP="00C049E0">
            <w:pPr>
              <w:widowControl w:val="0"/>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A20</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widowControl w:val="0"/>
              <w:suppressAutoHyphens/>
              <w:jc w:val="both"/>
              <w:rPr>
                <w:sz w:val="24"/>
                <w:szCs w:val="24"/>
                <w:lang w:val="en-GB" w:eastAsia="ja-JP"/>
              </w:rPr>
            </w:pPr>
            <w:r w:rsidRPr="00C049E0">
              <w:rPr>
                <w:sz w:val="24"/>
                <w:szCs w:val="24"/>
                <w:lang w:val="en-GB" w:eastAsia="ja-JP"/>
              </w:rPr>
              <w:t xml:space="preserve">(Continuing action) Compile articles published in JINR Rapid Communication (KSO) and Phys. Part. </w:t>
            </w:r>
            <w:proofErr w:type="spellStart"/>
            <w:r w:rsidRPr="00C049E0">
              <w:rPr>
                <w:sz w:val="24"/>
                <w:szCs w:val="24"/>
                <w:lang w:val="en-GB" w:eastAsia="ja-JP"/>
              </w:rPr>
              <w:t>Nucl</w:t>
            </w:r>
            <w:proofErr w:type="spellEnd"/>
            <w:r w:rsidRPr="00C049E0">
              <w:rPr>
                <w:sz w:val="24"/>
                <w:szCs w:val="24"/>
                <w:lang w:val="en-GB" w:eastAsia="ja-JP"/>
              </w:rPr>
              <w:t>. Lett. (PPN/L) and listed in CP-D/858.</w:t>
            </w:r>
          </w:p>
          <w:p w:rsidR="00C049E0" w:rsidRPr="00C049E0" w:rsidRDefault="00C049E0" w:rsidP="00C049E0">
            <w:pPr>
              <w:widowControl w:val="0"/>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A21</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Compile the thermal neutron-induced reaction data cited in </w:t>
            </w:r>
            <w:proofErr w:type="spellStart"/>
            <w:r w:rsidRPr="00C049E0">
              <w:rPr>
                <w:sz w:val="24"/>
                <w:szCs w:val="24"/>
                <w:lang w:val="en-GB" w:eastAsia="ja-JP"/>
              </w:rPr>
              <w:t>Mughabghab’s</w:t>
            </w:r>
            <w:proofErr w:type="spellEnd"/>
            <w:r w:rsidRPr="00C049E0">
              <w:rPr>
                <w:sz w:val="24"/>
                <w:szCs w:val="24"/>
                <w:lang w:val="en-GB" w:eastAsia="ja-JP"/>
              </w:rPr>
              <w:t xml:space="preserve"> “Atlas of Neutron Resonances” and listed in 4C-4/212=WP2016-15.</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lastRenderedPageBreak/>
              <w:t>A22</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Compile with priority articles related to the neutron dosimetry cross sections listed in the second table of CP-D/838.</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A23</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Assess the articles reporting </w:t>
            </w:r>
            <w:proofErr w:type="spellStart"/>
            <w:r w:rsidRPr="00C049E0">
              <w:rPr>
                <w:sz w:val="24"/>
                <w:szCs w:val="24"/>
                <w:lang w:val="en-GB" w:eastAsia="ja-JP"/>
              </w:rPr>
              <w:t>keV</w:t>
            </w:r>
            <w:proofErr w:type="spellEnd"/>
            <w:r w:rsidRPr="00C049E0">
              <w:rPr>
                <w:sz w:val="24"/>
                <w:szCs w:val="24"/>
                <w:lang w:val="en-GB" w:eastAsia="ja-JP"/>
              </w:rPr>
              <w:t xml:space="preserve"> neutron capture cross section entries listed in CP-D/740, and add these articles with necessary revisions with priority.</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A24</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Compile articles for thermal neutron constants listed in 4C-3/405=WP2017-19.</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A25</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Chen</w:t>
            </w:r>
          </w:p>
          <w:p w:rsidR="00C049E0" w:rsidRPr="00C049E0" w:rsidRDefault="00C049E0" w:rsidP="00C049E0">
            <w:pPr>
              <w:suppressAutoHyphens/>
              <w:jc w:val="both"/>
              <w:rPr>
                <w:sz w:val="24"/>
                <w:szCs w:val="24"/>
                <w:lang w:val="en-GB" w:eastAsia="ja-JP"/>
              </w:rPr>
            </w:pPr>
            <w:r w:rsidRPr="00C049E0">
              <w:rPr>
                <w:sz w:val="24"/>
                <w:szCs w:val="24"/>
                <w:lang w:val="en-GB" w:eastAsia="ja-JP"/>
              </w:rPr>
              <w:t>Ebata</w:t>
            </w:r>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Compile with priority the neutron source spectra listed in CP-D/700 (Rev.3).</w:t>
            </w: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A26</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r w:rsidRPr="00C049E0">
              <w:rPr>
                <w:sz w:val="24"/>
                <w:szCs w:val="24"/>
                <w:lang w:val="en-GB" w:eastAsia="ja-JP"/>
              </w:rPr>
              <w:t>Ebata</w:t>
            </w:r>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Taova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Compile with priority the proton-induced isotope production cross sections listed in CP-D/725 Rev. (~WP2012-19). Notify </w:t>
            </w:r>
            <w:proofErr w:type="spellStart"/>
            <w:r w:rsidRPr="00C049E0">
              <w:rPr>
                <w:sz w:val="24"/>
                <w:szCs w:val="24"/>
                <w:lang w:val="en-GB" w:eastAsia="ja-JP"/>
              </w:rPr>
              <w:t>Semkova</w:t>
            </w:r>
            <w:proofErr w:type="spellEnd"/>
            <w:r w:rsidRPr="00C049E0">
              <w:rPr>
                <w:sz w:val="24"/>
                <w:szCs w:val="24"/>
                <w:lang w:val="en-GB" w:eastAsia="ja-JP"/>
              </w:rPr>
              <w:t xml:space="preserve"> if the assigned centre does not compile the high energy (E &gt; 1 GeV) data in the list.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A27</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Ebata</w:t>
            </w:r>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Taova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Compile with priority the light charged-particle induced isotope production cross sections listed in CP-D/757. Notify </w:t>
            </w:r>
            <w:proofErr w:type="spellStart"/>
            <w:r w:rsidRPr="00C049E0">
              <w:rPr>
                <w:sz w:val="24"/>
                <w:szCs w:val="24"/>
                <w:lang w:val="en-GB" w:eastAsia="ja-JP"/>
              </w:rPr>
              <w:t>Semkova</w:t>
            </w:r>
            <w:proofErr w:type="spellEnd"/>
            <w:r w:rsidRPr="00C049E0">
              <w:rPr>
                <w:sz w:val="24"/>
                <w:szCs w:val="24"/>
                <w:lang w:val="en-GB" w:eastAsia="ja-JP"/>
              </w:rPr>
              <w:t xml:space="preserve"> if the assigned centre does not compile the high energy (E &gt; 1 GeV) data in the list.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A28</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r w:rsidRPr="00C049E0">
              <w:rPr>
                <w:sz w:val="24"/>
                <w:szCs w:val="24"/>
                <w:lang w:val="en-GB" w:eastAsia="ja-JP"/>
              </w:rPr>
              <w:t>Chen</w:t>
            </w:r>
          </w:p>
          <w:p w:rsidR="00C049E0" w:rsidRPr="00C049E0" w:rsidRDefault="00C049E0" w:rsidP="00C049E0">
            <w:pPr>
              <w:suppressAutoHyphens/>
              <w:jc w:val="both"/>
              <w:rPr>
                <w:sz w:val="24"/>
                <w:szCs w:val="24"/>
                <w:lang w:val="en-GB" w:eastAsia="ja-JP"/>
              </w:rPr>
            </w:pPr>
            <w:r w:rsidRPr="00C049E0">
              <w:rPr>
                <w:sz w:val="24"/>
                <w:szCs w:val="24"/>
                <w:lang w:val="en-GB" w:eastAsia="ja-JP"/>
              </w:rPr>
              <w:t>Yang</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Compile with priority the articles cited in the NACRE II (an update and extension of European Compilation of Reaction Rates for Astrophysics) listed in Tables 1 and 2 of CP-D/833.</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A29</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r w:rsidRPr="00C049E0">
              <w:rPr>
                <w:sz w:val="24"/>
                <w:szCs w:val="24"/>
                <w:lang w:val="en-GB" w:eastAsia="ja-JP"/>
              </w:rPr>
              <w:t>Chen</w:t>
            </w:r>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Taova</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Compile with priority the articles related to ion beam analysis application listed in CP-D/832 Rev.</w:t>
            </w: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A30</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Compile the thermal neutron-induced reaction data cited in </w:t>
            </w:r>
            <w:proofErr w:type="spellStart"/>
            <w:r w:rsidRPr="00C049E0">
              <w:rPr>
                <w:sz w:val="24"/>
                <w:szCs w:val="24"/>
                <w:lang w:val="en-GB" w:eastAsia="ja-JP"/>
              </w:rPr>
              <w:t>Mughabghab’s</w:t>
            </w:r>
            <w:proofErr w:type="spellEnd"/>
            <w:r w:rsidRPr="00C049E0">
              <w:rPr>
                <w:sz w:val="24"/>
                <w:szCs w:val="24"/>
                <w:lang w:val="en-GB" w:eastAsia="ja-JP"/>
              </w:rPr>
              <w:t xml:space="preserve"> “Atlas of Neutron Resonances” and listed in 4C-3/395.</w:t>
            </w: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A31</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Chen</w:t>
            </w:r>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Compile with priority prompt fission neutron multiplicity distributions listed in CP-D/867.</w:t>
            </w: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A32</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Compile with priority prompt fission neutron multiplicities listed in CP-D/871.</w:t>
            </w: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A33</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r w:rsidRPr="00C049E0">
              <w:rPr>
                <w:sz w:val="24"/>
                <w:szCs w:val="24"/>
                <w:lang w:val="en-GB" w:eastAsia="ja-JP"/>
              </w:rPr>
              <w:t>Ebata</w:t>
            </w:r>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Gritzay</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Compile articles presented in Reactor Dosimetry Symposia listed in 4C-3/400=WP2016-16.</w:t>
            </w: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lastRenderedPageBreak/>
              <w:t>A34</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Compile thermal neutron data cited by Axton and listed in 4C-3/402 =WP2016-18.</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A35</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Compile thermal neutron scattering data listed in 4C-3/404= WP2016-19.</w:t>
            </w: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A36</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Lalremruata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Compile old Indian articles published in </w:t>
            </w:r>
            <w:proofErr w:type="spellStart"/>
            <w:r w:rsidRPr="00C049E0">
              <w:rPr>
                <w:sz w:val="24"/>
                <w:szCs w:val="24"/>
                <w:lang w:val="en-GB" w:eastAsia="ja-JP"/>
              </w:rPr>
              <w:t>Pramana</w:t>
            </w:r>
            <w:proofErr w:type="spellEnd"/>
            <w:r w:rsidRPr="00C049E0">
              <w:rPr>
                <w:sz w:val="24"/>
                <w:szCs w:val="24"/>
                <w:lang w:val="en-GB" w:eastAsia="ja-JP"/>
              </w:rPr>
              <w:t xml:space="preserve"> and Ind. J. Pure and Applied Phys. listed in Memo CP-D/910=WP2017-18.</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A37</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ar-SA"/>
              </w:rPr>
              <w:t>Pritychenko</w:t>
            </w:r>
            <w:proofErr w:type="spellEnd"/>
          </w:p>
        </w:tc>
        <w:tc>
          <w:tcPr>
            <w:tcW w:w="6620" w:type="dxa"/>
          </w:tcPr>
          <w:p w:rsidR="00C049E0" w:rsidRPr="00C049E0" w:rsidRDefault="00C049E0" w:rsidP="00C049E0">
            <w:pPr>
              <w:suppressAutoHyphens/>
              <w:jc w:val="both"/>
              <w:rPr>
                <w:sz w:val="24"/>
                <w:szCs w:val="24"/>
                <w:lang w:val="en-GB" w:eastAsia="ar-SA"/>
              </w:rPr>
            </w:pPr>
            <w:r w:rsidRPr="00C049E0">
              <w:rPr>
                <w:sz w:val="24"/>
                <w:szCs w:val="24"/>
                <w:lang w:val="en-GB" w:eastAsia="ar-SA"/>
              </w:rPr>
              <w:t>Compile Tables 1 and 2 of J.W. Meadows</w:t>
            </w:r>
            <w:proofErr w:type="gramStart"/>
            <w:r w:rsidRPr="00C049E0">
              <w:rPr>
                <w:sz w:val="24"/>
                <w:szCs w:val="24"/>
                <w:lang w:val="en-GB" w:eastAsia="ar-SA"/>
              </w:rPr>
              <w:t>,C,70ANL</w:t>
            </w:r>
            <w:proofErr w:type="gramEnd"/>
            <w:r w:rsidRPr="00C049E0">
              <w:rPr>
                <w:sz w:val="24"/>
                <w:szCs w:val="24"/>
                <w:lang w:val="en-GB" w:eastAsia="ar-SA"/>
              </w:rPr>
              <w:t>,,129,1970 which supersedes EXFOR 10148.002 and 003 (4C-3/409=WP2017-20).</w:t>
            </w:r>
          </w:p>
          <w:p w:rsidR="00C049E0" w:rsidRPr="00C049E0" w:rsidRDefault="00C049E0" w:rsidP="00C049E0">
            <w:pPr>
              <w:suppressAutoHyphens/>
              <w:jc w:val="both"/>
              <w:rPr>
                <w:sz w:val="24"/>
                <w:szCs w:val="24"/>
                <w:lang w:val="en-GB" w:eastAsia="ar-SA"/>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A38</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Monitor availability of P.E. Koehler’s time-of-flight spectra on DVDs received from ORELA in 2015 for EXFOR compilation.</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rFonts w:hint="eastAsia"/>
                <w:sz w:val="24"/>
                <w:szCs w:val="24"/>
                <w:lang w:val="en-GB" w:eastAsia="ja-JP"/>
              </w:rPr>
              <w:t>A</w:t>
            </w:r>
            <w:r w:rsidRPr="00C049E0">
              <w:rPr>
                <w:sz w:val="24"/>
                <w:szCs w:val="24"/>
                <w:lang w:val="en-GB" w:eastAsia="ja-JP"/>
              </w:rPr>
              <w:t>39</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rFonts w:hint="eastAsia"/>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Monitor availability of the </w:t>
            </w:r>
            <w:proofErr w:type="gramStart"/>
            <w:r w:rsidRPr="00C049E0">
              <w:rPr>
                <w:sz w:val="24"/>
                <w:szCs w:val="24"/>
                <w:vertAlign w:val="superscript"/>
                <w:lang w:val="en-GB" w:eastAsia="ja-JP"/>
              </w:rPr>
              <w:t>235</w:t>
            </w:r>
            <w:r w:rsidRPr="00C049E0">
              <w:rPr>
                <w:sz w:val="24"/>
                <w:szCs w:val="24"/>
                <w:lang w:val="en-GB" w:eastAsia="ja-JP"/>
              </w:rPr>
              <w:t>U(</w:t>
            </w:r>
            <w:proofErr w:type="spellStart"/>
            <w:proofErr w:type="gramEnd"/>
            <w:r w:rsidRPr="00C049E0">
              <w:rPr>
                <w:sz w:val="24"/>
                <w:szCs w:val="24"/>
                <w:lang w:val="en-GB" w:eastAsia="ja-JP"/>
              </w:rPr>
              <w:t>n,f</w:t>
            </w:r>
            <w:proofErr w:type="spellEnd"/>
            <w:r w:rsidRPr="00C049E0">
              <w:rPr>
                <w:sz w:val="24"/>
                <w:szCs w:val="24"/>
                <w:lang w:val="en-GB" w:eastAsia="ja-JP"/>
              </w:rPr>
              <w:t>) prompt fission neutron spectra in EXFOR 13982.002 (P. Staples) corrected for the sample size effect.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A40</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Compile </w:t>
            </w:r>
            <w:proofErr w:type="gramStart"/>
            <w:r w:rsidRPr="00C049E0">
              <w:rPr>
                <w:sz w:val="24"/>
                <w:szCs w:val="24"/>
                <w:vertAlign w:val="superscript"/>
                <w:lang w:val="en-GB" w:eastAsia="ja-JP"/>
              </w:rPr>
              <w:t>238</w:t>
            </w:r>
            <w:r w:rsidRPr="00C049E0">
              <w:rPr>
                <w:sz w:val="24"/>
                <w:szCs w:val="24"/>
                <w:lang w:val="en-GB" w:eastAsia="ja-JP"/>
              </w:rPr>
              <w:t>U(</w:t>
            </w:r>
            <w:proofErr w:type="spellStart"/>
            <w:proofErr w:type="gramEnd"/>
            <w:r w:rsidRPr="00C049E0">
              <w:rPr>
                <w:sz w:val="24"/>
                <w:szCs w:val="24"/>
                <w:lang w:val="en-GB" w:eastAsia="ja-JP"/>
              </w:rPr>
              <w:t>n,f</w:t>
            </w:r>
            <w:proofErr w:type="spellEnd"/>
            <w:r w:rsidRPr="00C049E0">
              <w:rPr>
                <w:sz w:val="24"/>
                <w:szCs w:val="24"/>
                <w:lang w:val="en-GB" w:eastAsia="ja-JP"/>
              </w:rPr>
              <w:t xml:space="preserve">) cross sections in Table 4.6 of </w:t>
            </w:r>
            <w:proofErr w:type="spellStart"/>
            <w:r w:rsidRPr="00C049E0">
              <w:rPr>
                <w:sz w:val="24"/>
                <w:szCs w:val="24"/>
                <w:lang w:val="en-GB" w:eastAsia="ja-JP"/>
              </w:rPr>
              <w:t>Zchariah</w:t>
            </w:r>
            <w:proofErr w:type="spellEnd"/>
            <w:r w:rsidRPr="00C049E0">
              <w:rPr>
                <w:sz w:val="24"/>
                <w:szCs w:val="24"/>
                <w:lang w:val="en-GB" w:eastAsia="ja-JP"/>
              </w:rPr>
              <w:t xml:space="preserve"> W. Miller’s thesis (Univ. of Kentucky, 2015) once they are published.</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A41</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Semkova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Finalize the list of the </w:t>
            </w:r>
            <w:r w:rsidRPr="00C049E0">
              <w:rPr>
                <w:rFonts w:hint="eastAsia"/>
                <w:sz w:val="24"/>
                <w:szCs w:val="24"/>
                <w:lang w:val="en-GB" w:eastAsia="ja-JP"/>
              </w:rPr>
              <w:t xml:space="preserve">journal </w:t>
            </w:r>
            <w:r w:rsidRPr="00C049E0">
              <w:rPr>
                <w:sz w:val="24"/>
                <w:szCs w:val="24"/>
                <w:lang w:val="en-GB" w:eastAsia="ja-JP"/>
              </w:rPr>
              <w:t>articles for neutron, proton and alpha-induced reactions in NSR but not in EXFOR (WP2017-17).</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A42</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Receive the experimental fission product yield data collected by Robert Mills</w:t>
            </w:r>
            <w:r w:rsidRPr="00C049E0">
              <w:rPr>
                <w:rFonts w:hint="eastAsia"/>
                <w:sz w:val="24"/>
                <w:szCs w:val="24"/>
                <w:lang w:val="en-GB" w:eastAsia="ja-JP"/>
              </w:rPr>
              <w:t>.</w:t>
            </w:r>
            <w:r w:rsidRPr="00C049E0">
              <w:rPr>
                <w:sz w:val="24"/>
                <w:szCs w:val="24"/>
                <w:lang w:val="en-GB" w:eastAsia="ja-JP"/>
              </w:rPr>
              <w:t xml:space="preserve"> </w:t>
            </w:r>
            <w:r w:rsidRPr="00C049E0">
              <w:rPr>
                <w:rFonts w:hint="eastAsia"/>
                <w:sz w:val="24"/>
                <w:szCs w:val="24"/>
                <w:lang w:val="en-GB" w:eastAsia="ja-JP"/>
              </w:rPr>
              <w:t>I</w:t>
            </w:r>
            <w:r w:rsidRPr="00C049E0">
              <w:rPr>
                <w:sz w:val="24"/>
                <w:szCs w:val="24"/>
                <w:lang w:val="en-GB" w:eastAsia="ja-JP"/>
              </w:rPr>
              <w:t>dentify the numerical data sets missing in EXFOR</w:t>
            </w:r>
            <w:r w:rsidRPr="00C049E0">
              <w:rPr>
                <w:rFonts w:hint="eastAsia"/>
                <w:sz w:val="24"/>
                <w:szCs w:val="24"/>
                <w:lang w:val="en-GB" w:eastAsia="ja-JP"/>
              </w:rPr>
              <w:t xml:space="preserve"> once they are received</w:t>
            </w:r>
            <w:r w:rsidRPr="00C049E0">
              <w:rPr>
                <w:sz w:val="24"/>
                <w:szCs w:val="24"/>
                <w:lang w:val="en-GB" w:eastAsia="ja-JP"/>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A43</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Perform EXFOR completeness checking for the list of articles (4C-3/401, articles cited in S. </w:t>
            </w:r>
            <w:proofErr w:type="spellStart"/>
            <w:r w:rsidRPr="00C049E0">
              <w:rPr>
                <w:sz w:val="24"/>
                <w:szCs w:val="24"/>
                <w:lang w:val="en-GB" w:eastAsia="ja-JP"/>
              </w:rPr>
              <w:t>Mughabghab’s</w:t>
            </w:r>
            <w:proofErr w:type="spellEnd"/>
            <w:r w:rsidRPr="00C049E0">
              <w:rPr>
                <w:sz w:val="24"/>
                <w:szCs w:val="24"/>
                <w:lang w:val="en-GB" w:eastAsia="ja-JP"/>
              </w:rPr>
              <w:t xml:space="preserve"> “Atlas of Neutron Resonances”) to identify articles missing in EXFOR, and assign responsibility of compilation of the identified articles to centres by a memo.</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A44</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Summarize typographical mistakes of bibliography in </w:t>
            </w:r>
            <w:proofErr w:type="spellStart"/>
            <w:r w:rsidRPr="00C049E0">
              <w:rPr>
                <w:sz w:val="24"/>
                <w:szCs w:val="24"/>
                <w:lang w:val="en-GB" w:eastAsia="ja-JP"/>
              </w:rPr>
              <w:t>Mughabghab’s</w:t>
            </w:r>
            <w:proofErr w:type="spellEnd"/>
            <w:r w:rsidRPr="00C049E0">
              <w:rPr>
                <w:sz w:val="24"/>
                <w:szCs w:val="24"/>
                <w:lang w:val="en-GB" w:eastAsia="ja-JP"/>
              </w:rPr>
              <w:t xml:space="preserve"> atlas, and send it to S. </w:t>
            </w:r>
            <w:proofErr w:type="spellStart"/>
            <w:r w:rsidRPr="00C049E0">
              <w:rPr>
                <w:sz w:val="24"/>
                <w:szCs w:val="24"/>
                <w:lang w:val="en-GB" w:eastAsia="ja-JP"/>
              </w:rPr>
              <w:t>Mughabghab</w:t>
            </w:r>
            <w:proofErr w:type="spellEnd"/>
            <w:r w:rsidRPr="00C049E0">
              <w:rPr>
                <w:sz w:val="24"/>
                <w:szCs w:val="24"/>
                <w:lang w:val="en-GB" w:eastAsia="ja-JP"/>
              </w:rPr>
              <w:t>.</w:t>
            </w: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A45</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r w:rsidRPr="00C049E0">
              <w:rPr>
                <w:rFonts w:hint="eastAsia"/>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Monitor </w:t>
            </w:r>
            <w:r w:rsidRPr="00C049E0">
              <w:rPr>
                <w:rFonts w:hint="eastAsia"/>
                <w:sz w:val="24"/>
                <w:szCs w:val="24"/>
                <w:lang w:val="en-GB" w:eastAsia="ja-JP"/>
              </w:rPr>
              <w:t xml:space="preserve">communications among evaluators (e.g., </w:t>
            </w:r>
            <w:r w:rsidRPr="00C049E0">
              <w:rPr>
                <w:sz w:val="24"/>
                <w:szCs w:val="24"/>
                <w:lang w:val="en-GB" w:eastAsia="ja-JP"/>
              </w:rPr>
              <w:t>CIELO mailing lists</w:t>
            </w:r>
            <w:r w:rsidRPr="00C049E0">
              <w:rPr>
                <w:rFonts w:hint="eastAsia"/>
                <w:sz w:val="24"/>
                <w:szCs w:val="24"/>
                <w:lang w:val="en-GB" w:eastAsia="ja-JP"/>
              </w:rPr>
              <w:t>)</w:t>
            </w:r>
            <w:r w:rsidRPr="00C049E0">
              <w:rPr>
                <w:sz w:val="24"/>
                <w:szCs w:val="24"/>
                <w:lang w:val="en-GB" w:eastAsia="ja-JP"/>
              </w:rPr>
              <w:t>, and try to receive tabulated experimental data from evaluators who have their own internal database.</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A46</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Kenzebayev</w:t>
            </w:r>
            <w:proofErr w:type="spellEnd"/>
          </w:p>
        </w:tc>
        <w:tc>
          <w:tcPr>
            <w:tcW w:w="6620" w:type="dxa"/>
          </w:tcPr>
          <w:p w:rsidR="00C049E0" w:rsidRPr="00C049E0" w:rsidRDefault="00C049E0" w:rsidP="00C049E0">
            <w:pPr>
              <w:widowControl w:val="0"/>
              <w:suppressAutoHyphens/>
              <w:jc w:val="both"/>
              <w:rPr>
                <w:sz w:val="24"/>
                <w:szCs w:val="24"/>
                <w:lang w:val="en-GB" w:eastAsia="ja-JP"/>
              </w:rPr>
            </w:pPr>
            <w:r w:rsidRPr="00C049E0">
              <w:rPr>
                <w:sz w:val="24"/>
                <w:szCs w:val="24"/>
                <w:lang w:val="en-GB" w:eastAsia="ja-JP"/>
              </w:rPr>
              <w:t>(Continuing action) Scan domestic publications (</w:t>
            </w:r>
            <w:r w:rsidRPr="00C049E0">
              <w:rPr>
                <w:i/>
                <w:sz w:val="24"/>
                <w:szCs w:val="24"/>
                <w:lang w:val="en-GB" w:eastAsia="ja-JP"/>
              </w:rPr>
              <w:t>e.g.</w:t>
            </w:r>
            <w:r w:rsidRPr="00C049E0">
              <w:rPr>
                <w:sz w:val="24"/>
                <w:szCs w:val="24"/>
                <w:lang w:val="en-GB" w:eastAsia="ja-JP"/>
              </w:rPr>
              <w:t>, journals, laboratory reports) to identify articles for EXFOR compilation.</w:t>
            </w:r>
          </w:p>
          <w:p w:rsidR="00C049E0" w:rsidRPr="00C049E0" w:rsidRDefault="00C049E0" w:rsidP="00C049E0">
            <w:pPr>
              <w:widowControl w:val="0"/>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lastRenderedPageBreak/>
              <w:t>A47</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Gritzay</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Consider compilation of neutron spectra for filtered neutrons published in the last 10 years.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p>
        </w:tc>
        <w:tc>
          <w:tcPr>
            <w:tcW w:w="1630" w:type="dxa"/>
          </w:tcPr>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9000" w:type="dxa"/>
            <w:gridSpan w:val="3"/>
          </w:tcPr>
          <w:p w:rsidR="00C049E0" w:rsidRPr="00C049E0" w:rsidRDefault="00C049E0" w:rsidP="00C049E0">
            <w:pPr>
              <w:widowControl w:val="0"/>
              <w:suppressAutoHyphens/>
              <w:rPr>
                <w:b/>
                <w:sz w:val="24"/>
                <w:szCs w:val="24"/>
                <w:lang w:val="en-GB" w:eastAsia="ja-JP"/>
              </w:rPr>
            </w:pPr>
            <w:r w:rsidRPr="00C049E0">
              <w:rPr>
                <w:b/>
                <w:sz w:val="24"/>
                <w:szCs w:val="24"/>
                <w:lang w:val="en-GB" w:eastAsia="ja-JP"/>
              </w:rPr>
              <w:t>EXFOR Quality Control</w:t>
            </w:r>
          </w:p>
          <w:p w:rsidR="00C049E0" w:rsidRPr="00C049E0" w:rsidRDefault="00C049E0" w:rsidP="00C049E0">
            <w:pPr>
              <w:widowControl w:val="0"/>
              <w:suppressAutoHyphens/>
              <w:rPr>
                <w:sz w:val="24"/>
                <w:szCs w:val="24"/>
                <w:lang w:val="en-GB" w:eastAsia="ja-JP"/>
              </w:rPr>
            </w:pPr>
            <w:r w:rsidRPr="00C049E0">
              <w:rPr>
                <w:sz w:val="24"/>
                <w:szCs w:val="24"/>
                <w:lang w:val="en-GB" w:eastAsia="ja-JP"/>
              </w:rPr>
              <w:t>(Underlined items are registered in the EXFOR Feedback List.)</w:t>
            </w:r>
          </w:p>
          <w:p w:rsidR="00C049E0" w:rsidRPr="00C049E0" w:rsidRDefault="00C049E0" w:rsidP="00C049E0">
            <w:pPr>
              <w:widowControl w:val="0"/>
              <w:suppressAutoHyphens/>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A48</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Add English translation information of </w:t>
            </w:r>
            <w:proofErr w:type="spellStart"/>
            <w:r w:rsidRPr="00C049E0">
              <w:rPr>
                <w:sz w:val="24"/>
                <w:szCs w:val="24"/>
                <w:lang w:val="en-GB" w:eastAsia="ja-JP"/>
              </w:rPr>
              <w:t>Atomnaya</w:t>
            </w:r>
            <w:proofErr w:type="spellEnd"/>
            <w:r w:rsidRPr="00C049E0">
              <w:rPr>
                <w:sz w:val="24"/>
                <w:szCs w:val="24"/>
                <w:lang w:val="en-GB" w:eastAsia="ja-JP"/>
              </w:rPr>
              <w:t xml:space="preserve"> </w:t>
            </w:r>
            <w:proofErr w:type="spellStart"/>
            <w:r w:rsidRPr="00C049E0">
              <w:rPr>
                <w:sz w:val="24"/>
                <w:szCs w:val="24"/>
                <w:lang w:val="en-GB" w:eastAsia="ja-JP"/>
              </w:rPr>
              <w:t>Energiya</w:t>
            </w:r>
            <w:proofErr w:type="spellEnd"/>
            <w:r w:rsidRPr="00C049E0">
              <w:rPr>
                <w:sz w:val="24"/>
                <w:szCs w:val="24"/>
                <w:lang w:val="en-GB" w:eastAsia="ja-JP"/>
              </w:rPr>
              <w:t xml:space="preserve"> under the keyword REFERENCE as listed in WP2011-26.</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u w:val="single"/>
                <w:lang w:val="en-GB" w:eastAsia="ja-JP"/>
              </w:rPr>
              <w:t>A49</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Add English translation information of </w:t>
            </w:r>
            <w:proofErr w:type="spellStart"/>
            <w:r w:rsidRPr="00C049E0">
              <w:rPr>
                <w:sz w:val="24"/>
                <w:szCs w:val="24"/>
                <w:lang w:val="en-GB" w:eastAsia="ja-JP"/>
              </w:rPr>
              <w:t>Yadernaya</w:t>
            </w:r>
            <w:proofErr w:type="spellEnd"/>
            <w:r w:rsidRPr="00C049E0">
              <w:rPr>
                <w:sz w:val="24"/>
                <w:szCs w:val="24"/>
                <w:lang w:val="en-GB" w:eastAsia="ja-JP"/>
              </w:rPr>
              <w:t xml:space="preserve"> </w:t>
            </w:r>
            <w:proofErr w:type="spellStart"/>
            <w:r w:rsidRPr="00C049E0">
              <w:rPr>
                <w:sz w:val="24"/>
                <w:szCs w:val="24"/>
                <w:lang w:val="en-GB" w:eastAsia="ja-JP"/>
              </w:rPr>
              <w:t>Fizika</w:t>
            </w:r>
            <w:proofErr w:type="spellEnd"/>
            <w:r w:rsidRPr="00C049E0">
              <w:rPr>
                <w:sz w:val="24"/>
                <w:szCs w:val="24"/>
                <w:lang w:val="en-GB" w:eastAsia="ja-JP"/>
              </w:rPr>
              <w:t xml:space="preserve"> under the keyword REFERENCE as listed in WP2012-24.</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u w:val="single"/>
                <w:lang w:val="en-GB" w:eastAsia="ja-JP"/>
              </w:rPr>
              <w:t>A50</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Add English translation information of </w:t>
            </w:r>
            <w:proofErr w:type="spellStart"/>
            <w:r w:rsidRPr="00C049E0">
              <w:rPr>
                <w:sz w:val="24"/>
                <w:szCs w:val="24"/>
                <w:lang w:val="en-GB" w:eastAsia="ja-JP"/>
              </w:rPr>
              <w:t>Yadernye</w:t>
            </w:r>
            <w:proofErr w:type="spellEnd"/>
            <w:r w:rsidRPr="00C049E0">
              <w:rPr>
                <w:sz w:val="24"/>
                <w:szCs w:val="24"/>
                <w:lang w:val="en-GB" w:eastAsia="ja-JP"/>
              </w:rPr>
              <w:t xml:space="preserve"> </w:t>
            </w:r>
            <w:proofErr w:type="spellStart"/>
            <w:r w:rsidRPr="00C049E0">
              <w:rPr>
                <w:sz w:val="24"/>
                <w:szCs w:val="24"/>
                <w:lang w:val="en-GB" w:eastAsia="ja-JP"/>
              </w:rPr>
              <w:t>Konstanty</w:t>
            </w:r>
            <w:proofErr w:type="spellEnd"/>
            <w:r w:rsidRPr="00C049E0">
              <w:rPr>
                <w:sz w:val="24"/>
                <w:szCs w:val="24"/>
                <w:lang w:val="en-GB" w:eastAsia="ja-JP"/>
              </w:rPr>
              <w:t xml:space="preserve"> under the keyword REFERENCE as listed in Tables 1 and 2 of CP-D/777.</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u w:val="single"/>
                <w:lang w:val="en-GB" w:eastAsia="ja-JP"/>
              </w:rPr>
              <w:t>A51</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Add English translation information of </w:t>
            </w:r>
            <w:proofErr w:type="spellStart"/>
            <w:r w:rsidRPr="00C049E0">
              <w:rPr>
                <w:sz w:val="24"/>
                <w:szCs w:val="24"/>
                <w:lang w:val="en-GB" w:eastAsia="ja-JP"/>
              </w:rPr>
              <w:t>Zhurnal</w:t>
            </w:r>
            <w:proofErr w:type="spellEnd"/>
            <w:r w:rsidRPr="00C049E0">
              <w:rPr>
                <w:sz w:val="24"/>
                <w:szCs w:val="24"/>
                <w:lang w:val="en-GB" w:eastAsia="ja-JP"/>
              </w:rPr>
              <w:t xml:space="preserve"> </w:t>
            </w:r>
            <w:proofErr w:type="spellStart"/>
            <w:r w:rsidRPr="00C049E0">
              <w:rPr>
                <w:sz w:val="24"/>
                <w:szCs w:val="24"/>
                <w:lang w:val="en-GB" w:eastAsia="ja-JP"/>
              </w:rPr>
              <w:t>Eksp</w:t>
            </w:r>
            <w:proofErr w:type="spellEnd"/>
            <w:r w:rsidRPr="00C049E0">
              <w:rPr>
                <w:sz w:val="24"/>
                <w:szCs w:val="24"/>
                <w:lang w:val="en-GB" w:eastAsia="ja-JP"/>
              </w:rPr>
              <w:t xml:space="preserve">. </w:t>
            </w:r>
            <w:proofErr w:type="spellStart"/>
            <w:r w:rsidRPr="00C049E0">
              <w:rPr>
                <w:sz w:val="24"/>
                <w:szCs w:val="24"/>
                <w:lang w:val="en-GB" w:eastAsia="ja-JP"/>
              </w:rPr>
              <w:t>Teoret</w:t>
            </w:r>
            <w:proofErr w:type="spellEnd"/>
            <w:r w:rsidRPr="00C049E0">
              <w:rPr>
                <w:sz w:val="24"/>
                <w:szCs w:val="24"/>
                <w:lang w:val="en-GB" w:eastAsia="ja-JP"/>
              </w:rPr>
              <w:t xml:space="preserve">. </w:t>
            </w:r>
            <w:proofErr w:type="spellStart"/>
            <w:r w:rsidRPr="00C049E0">
              <w:rPr>
                <w:sz w:val="24"/>
                <w:szCs w:val="24"/>
                <w:lang w:val="en-GB" w:eastAsia="ja-JP"/>
              </w:rPr>
              <w:t>Fiziki</w:t>
            </w:r>
            <w:proofErr w:type="spellEnd"/>
            <w:r w:rsidRPr="00C049E0">
              <w:rPr>
                <w:sz w:val="24"/>
                <w:szCs w:val="24"/>
                <w:lang w:val="en-GB" w:eastAsia="ja-JP"/>
              </w:rPr>
              <w:t xml:space="preserve"> (incl. </w:t>
            </w:r>
            <w:proofErr w:type="spellStart"/>
            <w:r w:rsidRPr="00C049E0">
              <w:rPr>
                <w:sz w:val="24"/>
                <w:szCs w:val="24"/>
                <w:lang w:val="en-GB" w:eastAsia="ja-JP"/>
              </w:rPr>
              <w:t>Pis’ma</w:t>
            </w:r>
            <w:proofErr w:type="spellEnd"/>
            <w:r w:rsidRPr="00C049E0">
              <w:rPr>
                <w:sz w:val="24"/>
                <w:szCs w:val="24"/>
                <w:lang w:val="en-GB" w:eastAsia="ja-JP"/>
              </w:rPr>
              <w:t xml:space="preserve"> v </w:t>
            </w:r>
            <w:proofErr w:type="spellStart"/>
            <w:r w:rsidRPr="00C049E0">
              <w:rPr>
                <w:sz w:val="24"/>
                <w:szCs w:val="24"/>
                <w:lang w:val="en-GB" w:eastAsia="ja-JP"/>
              </w:rPr>
              <w:t>Redaktsiyu</w:t>
            </w:r>
            <w:proofErr w:type="spellEnd"/>
            <w:r w:rsidRPr="00C049E0">
              <w:rPr>
                <w:sz w:val="24"/>
                <w:szCs w:val="24"/>
                <w:lang w:val="en-GB" w:eastAsia="ja-JP"/>
              </w:rPr>
              <w:t>) under the keyword REFERENCE as listed in CP-D/809.</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A52</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Add English translation information of </w:t>
            </w:r>
            <w:proofErr w:type="spellStart"/>
            <w:r w:rsidRPr="00C049E0">
              <w:rPr>
                <w:sz w:val="24"/>
                <w:szCs w:val="24"/>
                <w:lang w:val="en-GB" w:eastAsia="ja-JP"/>
              </w:rPr>
              <w:t>Izvestiya</w:t>
            </w:r>
            <w:proofErr w:type="spellEnd"/>
            <w:r w:rsidRPr="00C049E0">
              <w:rPr>
                <w:sz w:val="24"/>
                <w:szCs w:val="24"/>
                <w:lang w:val="en-GB" w:eastAsia="ja-JP"/>
              </w:rPr>
              <w:t xml:space="preserve"> </w:t>
            </w:r>
            <w:proofErr w:type="spellStart"/>
            <w:r w:rsidRPr="00C049E0">
              <w:rPr>
                <w:sz w:val="24"/>
                <w:szCs w:val="24"/>
                <w:lang w:val="en-GB" w:eastAsia="ja-JP"/>
              </w:rPr>
              <w:t>Rossiiskoi</w:t>
            </w:r>
            <w:proofErr w:type="spellEnd"/>
            <w:r w:rsidRPr="00C049E0">
              <w:rPr>
                <w:sz w:val="24"/>
                <w:szCs w:val="24"/>
                <w:lang w:val="en-GB" w:eastAsia="ja-JP"/>
              </w:rPr>
              <w:t xml:space="preserve"> </w:t>
            </w:r>
            <w:proofErr w:type="spellStart"/>
            <w:r w:rsidRPr="00C049E0">
              <w:rPr>
                <w:sz w:val="24"/>
                <w:szCs w:val="24"/>
                <w:lang w:val="en-GB" w:eastAsia="ja-JP"/>
              </w:rPr>
              <w:t>Akademii</w:t>
            </w:r>
            <w:proofErr w:type="spellEnd"/>
            <w:r w:rsidRPr="00C049E0">
              <w:rPr>
                <w:sz w:val="24"/>
                <w:szCs w:val="24"/>
                <w:lang w:val="en-GB" w:eastAsia="ja-JP"/>
              </w:rPr>
              <w:t xml:space="preserve"> </w:t>
            </w:r>
            <w:proofErr w:type="spellStart"/>
            <w:r w:rsidRPr="00C049E0">
              <w:rPr>
                <w:sz w:val="24"/>
                <w:szCs w:val="24"/>
                <w:lang w:val="en-GB" w:eastAsia="ja-JP"/>
              </w:rPr>
              <w:t>Nauk</w:t>
            </w:r>
            <w:proofErr w:type="spellEnd"/>
            <w:r w:rsidRPr="00C049E0">
              <w:rPr>
                <w:sz w:val="24"/>
                <w:szCs w:val="24"/>
                <w:lang w:val="en-GB" w:eastAsia="ja-JP"/>
              </w:rPr>
              <w:t xml:space="preserve">, </w:t>
            </w:r>
            <w:proofErr w:type="spellStart"/>
            <w:r w:rsidRPr="00C049E0">
              <w:rPr>
                <w:sz w:val="24"/>
                <w:szCs w:val="24"/>
                <w:lang w:val="en-GB" w:eastAsia="ja-JP"/>
              </w:rPr>
              <w:t>Seriya</w:t>
            </w:r>
            <w:proofErr w:type="spellEnd"/>
            <w:r w:rsidRPr="00C049E0">
              <w:rPr>
                <w:sz w:val="24"/>
                <w:szCs w:val="24"/>
                <w:lang w:val="en-GB" w:eastAsia="ja-JP"/>
              </w:rPr>
              <w:t xml:space="preserve"> </w:t>
            </w:r>
            <w:proofErr w:type="spellStart"/>
            <w:r w:rsidRPr="00C049E0">
              <w:rPr>
                <w:sz w:val="24"/>
                <w:szCs w:val="24"/>
                <w:lang w:val="en-GB" w:eastAsia="ja-JP"/>
              </w:rPr>
              <w:t>Fizicheskaya</w:t>
            </w:r>
            <w:proofErr w:type="spellEnd"/>
            <w:r w:rsidRPr="00C049E0">
              <w:rPr>
                <w:sz w:val="24"/>
                <w:szCs w:val="24"/>
                <w:lang w:val="en-GB" w:eastAsia="ja-JP"/>
              </w:rPr>
              <w:t xml:space="preserve"> under the keyword REFERENCE as listed in CP-D/847.</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A53</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Mikhaliukova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Supersede 41013.003 by 41013.004. Also supersede 41013.004 by 22304.002 and 006 (4C-3/409=WP2017-20).</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A54</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Semkova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Supersede 30558.002 by 22304.002, and 30559.002 by 22304.006 (4C-3/409=WP2017-20).</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A55</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Look for the original value corresponding 12576.003 which provides a value renormalized by NNDC. If the original value is available, compile it and link it with 12576.003 by STATUS=OUTDT and RNORM. If the original value is no longer available, consider using free text instead of RNORM. (CP-D/841 Rev</w:t>
            </w:r>
            <w:proofErr w:type="gramStart"/>
            <w:r w:rsidRPr="00C049E0">
              <w:rPr>
                <w:sz w:val="24"/>
                <w:szCs w:val="24"/>
                <w:lang w:val="en-GB" w:eastAsia="ja-JP"/>
              </w:rPr>
              <w:t>.=</w:t>
            </w:r>
            <w:proofErr w:type="gramEnd"/>
            <w:r w:rsidRPr="00C049E0">
              <w:rPr>
                <w:sz w:val="24"/>
                <w:szCs w:val="24"/>
                <w:lang w:val="en-GB" w:eastAsia="ja-JP"/>
              </w:rPr>
              <w:t>WP2014-45).</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A56</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Add three values in Table XII of P</w:t>
            </w:r>
            <w:proofErr w:type="gramStart"/>
            <w:r w:rsidRPr="00C049E0">
              <w:rPr>
                <w:sz w:val="24"/>
                <w:szCs w:val="24"/>
                <w:lang w:val="en-GB" w:eastAsia="ja-JP"/>
              </w:rPr>
              <w:t>,WASH</w:t>
            </w:r>
            <w:proofErr w:type="gramEnd"/>
            <w:r w:rsidRPr="00C049E0">
              <w:rPr>
                <w:sz w:val="24"/>
                <w:szCs w:val="24"/>
                <w:lang w:val="en-GB" w:eastAsia="ja-JP"/>
              </w:rPr>
              <w:t>-1018,63,1959 to EXFOR 12185 which must be linked with 12185.004, 006 and 007 (values renormalized at NNDC) by STATUS=OUTDT and RNORM (CP-D/841 Rev.=WP2014-45).</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A57</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Explain availability of the neutron spectra of ISNF, Sig-Sig, CFRMF and YAYOI facility compiled in the IRDF-2002 library under the keyword COMMENT of 13153.001 as compiler’s comments.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lastRenderedPageBreak/>
              <w:t>A58</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Replace the data type code DERIV with DEROT in 14329.163 to 165. Move these subentries to an area Ventry, and submit its draft to NDS (see the coding sample in LEXFOR “Data Type”).</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A59</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Correct data sets compiling neutron production cross sections measured at OKTAVIAN as summarized in Table 2 of 4C-3/408.</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A60</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Add target thickness as coded information in the data sets listed in CP-D/878=WP2016-07.</w:t>
            </w: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A61</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Ebata</w:t>
            </w:r>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Semkova</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Correct half-lives and isomeric flags listed in Memo CP-D/888 =WP2016-25.</w:t>
            </w: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A62</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Semkova</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Takács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Taova</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Correct data sets identified as outliers on JANIS Books for gamma and charged particle cross sections (CP-D/926=WP2017-25).</w:t>
            </w: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A63</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Taova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Delete EXFOR A0320 (all) and F0160 (all) </w:t>
            </w:r>
            <w:r w:rsidRPr="00C049E0">
              <w:rPr>
                <w:rFonts w:hint="eastAsia"/>
                <w:sz w:val="24"/>
                <w:szCs w:val="24"/>
                <w:lang w:val="en-GB" w:eastAsia="ja-JP"/>
              </w:rPr>
              <w:t xml:space="preserve">which are </w:t>
            </w:r>
            <w:r w:rsidRPr="00C049E0">
              <w:rPr>
                <w:sz w:val="24"/>
                <w:szCs w:val="24"/>
                <w:lang w:val="en-GB" w:eastAsia="ja-JP"/>
              </w:rPr>
              <w:t>duplicated entries summarized in WP2016-20.</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u w:val="single"/>
                <w:lang w:val="en-GB" w:eastAsia="ja-JP"/>
              </w:rPr>
            </w:pPr>
            <w:r w:rsidRPr="00C049E0">
              <w:rPr>
                <w:sz w:val="24"/>
                <w:szCs w:val="24"/>
                <w:u w:val="single"/>
                <w:lang w:val="en-GB" w:eastAsia="ja-JP"/>
              </w:rPr>
              <w:t>A64</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Varlamov</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Delete M0907 which is duplication of M0896 (WP2017-22).</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A65</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Semkova</w:t>
            </w:r>
            <w:proofErr w:type="spellEnd"/>
          </w:p>
        </w:tc>
        <w:tc>
          <w:tcPr>
            <w:tcW w:w="6620" w:type="dxa"/>
          </w:tcPr>
          <w:p w:rsidR="00C049E0" w:rsidRPr="00C049E0" w:rsidRDefault="00C049E0" w:rsidP="00C049E0">
            <w:pPr>
              <w:widowControl w:val="0"/>
              <w:autoSpaceDE w:val="0"/>
              <w:autoSpaceDN w:val="0"/>
              <w:adjustRightInd w:val="0"/>
              <w:jc w:val="both"/>
              <w:rPr>
                <w:sz w:val="24"/>
                <w:szCs w:val="24"/>
                <w:lang w:val="en-GB" w:eastAsia="ja-JP"/>
              </w:rPr>
            </w:pPr>
            <w:r w:rsidRPr="00C049E0">
              <w:rPr>
                <w:sz w:val="24"/>
                <w:szCs w:val="24"/>
                <w:lang w:val="en-GB" w:eastAsia="ja-JP"/>
              </w:rPr>
              <w:t>Revise EXFOR entries compiling data sets from ORELA 40 m flight station listed in the Appendix of 4C-3/407=WP2017-30 by (1) addition of the corrigendum under REFERENCE of the common subentry, (2) addition of STATUS=OUTDT to each data subentry, and (3) clear indication of the correction factor under COMMENT.</w:t>
            </w:r>
          </w:p>
          <w:p w:rsidR="00C049E0" w:rsidRPr="00C049E0" w:rsidRDefault="00C049E0" w:rsidP="00C049E0">
            <w:pPr>
              <w:widowControl w:val="0"/>
              <w:autoSpaceDE w:val="0"/>
              <w:autoSpaceDN w:val="0"/>
              <w:adjustRightInd w:val="0"/>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A66</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trike/>
                <w:sz w:val="24"/>
                <w:szCs w:val="24"/>
                <w:lang w:val="en-GB" w:eastAsia="ja-JP"/>
              </w:rPr>
            </w:pPr>
            <w:proofErr w:type="spellStart"/>
            <w:r w:rsidRPr="00C049E0">
              <w:rPr>
                <w:sz w:val="24"/>
                <w:szCs w:val="24"/>
                <w:lang w:val="en-GB" w:eastAsia="ja-JP"/>
              </w:rPr>
              <w:t>Mikhailiukova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Try to add numerical data which are not superseded (SPSDD) but still unobtainable (UNOBT) for neutron-induced reaction data published in old literature for </w:t>
            </w:r>
            <w:r w:rsidRPr="00C049E0">
              <w:rPr>
                <w:sz w:val="24"/>
                <w:szCs w:val="24"/>
                <w:vertAlign w:val="superscript"/>
                <w:lang w:val="en-GB" w:eastAsia="ja-JP"/>
              </w:rPr>
              <w:t>1</w:t>
            </w:r>
            <w:r w:rsidRPr="00C049E0">
              <w:rPr>
                <w:sz w:val="24"/>
                <w:szCs w:val="24"/>
                <w:lang w:val="en-GB" w:eastAsia="ja-JP"/>
              </w:rPr>
              <w:t xml:space="preserve">H, </w:t>
            </w:r>
            <w:r w:rsidRPr="00C049E0">
              <w:rPr>
                <w:sz w:val="24"/>
                <w:szCs w:val="24"/>
                <w:vertAlign w:val="superscript"/>
                <w:lang w:val="en-GB" w:eastAsia="ja-JP"/>
              </w:rPr>
              <w:t>16</w:t>
            </w:r>
            <w:r w:rsidRPr="00C049E0">
              <w:rPr>
                <w:sz w:val="24"/>
                <w:szCs w:val="24"/>
                <w:lang w:val="en-GB" w:eastAsia="ja-JP"/>
              </w:rPr>
              <w:t xml:space="preserve">O, </w:t>
            </w:r>
            <w:r w:rsidRPr="00C049E0">
              <w:rPr>
                <w:sz w:val="24"/>
                <w:szCs w:val="24"/>
                <w:vertAlign w:val="superscript"/>
                <w:lang w:val="en-GB" w:eastAsia="ja-JP"/>
              </w:rPr>
              <w:t>56</w:t>
            </w:r>
            <w:r w:rsidRPr="00C049E0">
              <w:rPr>
                <w:sz w:val="24"/>
                <w:szCs w:val="24"/>
                <w:lang w:val="en-GB" w:eastAsia="ja-JP"/>
              </w:rPr>
              <w:t xml:space="preserve">Fe, </w:t>
            </w:r>
            <w:r w:rsidRPr="00C049E0">
              <w:rPr>
                <w:sz w:val="24"/>
                <w:szCs w:val="24"/>
                <w:vertAlign w:val="superscript"/>
                <w:lang w:val="en-GB" w:eastAsia="ja-JP"/>
              </w:rPr>
              <w:t>235</w:t>
            </w:r>
            <w:r w:rsidRPr="00C049E0">
              <w:rPr>
                <w:sz w:val="24"/>
                <w:szCs w:val="24"/>
                <w:lang w:val="en-GB" w:eastAsia="ja-JP"/>
              </w:rPr>
              <w:t xml:space="preserve">U, </w:t>
            </w:r>
            <w:r w:rsidRPr="00C049E0">
              <w:rPr>
                <w:sz w:val="24"/>
                <w:szCs w:val="24"/>
                <w:vertAlign w:val="superscript"/>
                <w:lang w:val="en-GB" w:eastAsia="ja-JP"/>
              </w:rPr>
              <w:t>238</w:t>
            </w:r>
            <w:r w:rsidRPr="00C049E0">
              <w:rPr>
                <w:sz w:val="24"/>
                <w:szCs w:val="24"/>
                <w:lang w:val="en-GB" w:eastAsia="ja-JP"/>
              </w:rPr>
              <w:t xml:space="preserve">U and </w:t>
            </w:r>
            <w:r w:rsidRPr="00C049E0">
              <w:rPr>
                <w:sz w:val="24"/>
                <w:szCs w:val="24"/>
                <w:vertAlign w:val="superscript"/>
                <w:lang w:val="en-GB" w:eastAsia="ja-JP"/>
              </w:rPr>
              <w:t>239</w:t>
            </w:r>
            <w:r w:rsidRPr="00C049E0">
              <w:rPr>
                <w:sz w:val="24"/>
                <w:szCs w:val="24"/>
                <w:lang w:val="en-GB" w:eastAsia="ja-JP"/>
              </w:rPr>
              <w:t>Pu.</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A67</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Assess if REACTION of 22077.014, 029 and 044 can be improved as proposed in the table of CP-D/813 (Rev.2).</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A68</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Soppera</w:t>
            </w:r>
            <w:proofErr w:type="spellEnd"/>
          </w:p>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Provide a list of erroneous and suspicious outliers by using various statistical approaches (c.f. WP2011-17, WP2013-19).</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A69</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Submit a revised Memo CP-D/933=WP2017-28 by addition of the remark to each subentry from </w:t>
            </w:r>
            <w:proofErr w:type="spellStart"/>
            <w:r w:rsidRPr="00C049E0">
              <w:rPr>
                <w:sz w:val="24"/>
                <w:szCs w:val="24"/>
                <w:lang w:val="en-GB" w:eastAsia="ja-JP"/>
              </w:rPr>
              <w:t>Takács</w:t>
            </w:r>
            <w:proofErr w:type="spellEnd"/>
            <w:r w:rsidRPr="00C049E0">
              <w:rPr>
                <w:sz w:val="24"/>
                <w:szCs w:val="24"/>
                <w:lang w:val="en-GB" w:eastAsia="ja-JP"/>
              </w:rPr>
              <w:t>. Also register the subentries requiring corrections in the EXFOR Feedback List.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lastRenderedPageBreak/>
              <w:t>A70</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Revise the REACTION codes of the thick target considering the changes proposed in Appendix of CP-D/933=WP2017-28 once the subentries for revisions are registered in the EXFOR Feedback List. Consult the proposed change with </w:t>
            </w:r>
            <w:proofErr w:type="spellStart"/>
            <w:r w:rsidRPr="00C049E0">
              <w:rPr>
                <w:sz w:val="24"/>
                <w:szCs w:val="24"/>
                <w:lang w:val="en-GB" w:eastAsia="ja-JP"/>
              </w:rPr>
              <w:t>Takács</w:t>
            </w:r>
            <w:proofErr w:type="spellEnd"/>
            <w:r w:rsidRPr="00C049E0">
              <w:rPr>
                <w:sz w:val="24"/>
                <w:szCs w:val="24"/>
                <w:lang w:val="en-GB" w:eastAsia="ja-JP"/>
              </w:rPr>
              <w:t xml:space="preserve"> when necessary. A draft of the revised entry is available from Otsuka.</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A71</w:t>
            </w:r>
          </w:p>
        </w:tc>
        <w:tc>
          <w:tcPr>
            <w:tcW w:w="1630" w:type="dxa"/>
          </w:tcPr>
          <w:p w:rsidR="00C049E0" w:rsidRPr="00C049E0" w:rsidRDefault="00C049E0" w:rsidP="00C049E0">
            <w:pPr>
              <w:suppressAutoHyphens/>
              <w:jc w:val="both"/>
              <w:rPr>
                <w:strike/>
                <w:sz w:val="24"/>
                <w:szCs w:val="24"/>
                <w:lang w:val="en-GB" w:eastAsia="ja-JP"/>
              </w:rPr>
            </w:pPr>
            <w:proofErr w:type="spellStart"/>
            <w:r w:rsidRPr="00C049E0">
              <w:rPr>
                <w:sz w:val="24"/>
                <w:szCs w:val="24"/>
                <w:lang w:val="en-GB" w:eastAsia="ja-JP"/>
              </w:rPr>
              <w:t>Cabellos</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Check the p-n scattering data set in EXFOR 22207.002 (G. Fink) against G.</w:t>
            </w:r>
            <w:r w:rsidRPr="00C049E0">
              <w:rPr>
                <w:sz w:val="24"/>
                <w:szCs w:val="24"/>
                <w:lang w:val="en-GB"/>
              </w:rPr>
              <w:t> </w:t>
            </w:r>
            <w:r w:rsidRPr="00C049E0">
              <w:rPr>
                <w:sz w:val="24"/>
                <w:szCs w:val="24"/>
                <w:lang w:val="en-GB" w:eastAsia="ja-JP"/>
              </w:rPr>
              <w:t xml:space="preserve">Fink’s thesis (e.g., reference frame – lab or </w:t>
            </w:r>
            <w:proofErr w:type="spellStart"/>
            <w:r w:rsidRPr="00C049E0">
              <w:rPr>
                <w:sz w:val="24"/>
                <w:szCs w:val="24"/>
                <w:lang w:val="en-GB" w:eastAsia="ja-JP"/>
              </w:rPr>
              <w:t>c.m</w:t>
            </w:r>
            <w:proofErr w:type="spellEnd"/>
            <w:r w:rsidRPr="00C049E0">
              <w:rPr>
                <w:sz w:val="24"/>
                <w:szCs w:val="24"/>
                <w:lang w:val="en-GB" w:eastAsia="ja-JP"/>
              </w:rPr>
              <w:t>.)</w:t>
            </w:r>
            <w:r w:rsidRPr="00C049E0">
              <w:rPr>
                <w:rFonts w:hint="eastAsia"/>
                <w:sz w:val="24"/>
                <w:szCs w:val="24"/>
                <w:lang w:val="en-GB" w:eastAsia="ja-JP"/>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A</w:t>
            </w:r>
            <w:r w:rsidRPr="00C049E0">
              <w:rPr>
                <w:sz w:val="24"/>
                <w:szCs w:val="24"/>
                <w:lang w:val="en-GB" w:eastAsia="ja-JP"/>
              </w:rPr>
              <w:t>72</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w:t>
            </w:r>
            <w:r w:rsidRPr="00C049E0">
              <w:rPr>
                <w:sz w:val="24"/>
                <w:szCs w:val="24"/>
                <w:lang w:val="en-GB" w:eastAsia="ja-JP"/>
              </w:rPr>
              <w:t>Continuing</w:t>
            </w:r>
            <w:r w:rsidRPr="00C049E0">
              <w:rPr>
                <w:sz w:val="24"/>
                <w:szCs w:val="24"/>
                <w:lang w:val="en-GB" w:eastAsia="ar-SA"/>
              </w:rPr>
              <w:t xml:space="preserve"> </w:t>
            </w:r>
            <w:r w:rsidRPr="00C049E0">
              <w:rPr>
                <w:sz w:val="24"/>
                <w:szCs w:val="24"/>
                <w:lang w:val="en-GB" w:eastAsia="ja-JP"/>
              </w:rPr>
              <w:t>a</w:t>
            </w:r>
            <w:r w:rsidRPr="00C049E0">
              <w:rPr>
                <w:sz w:val="24"/>
                <w:szCs w:val="24"/>
                <w:lang w:val="en-GB" w:eastAsia="ar-SA"/>
              </w:rPr>
              <w:t xml:space="preserve">ction) </w:t>
            </w:r>
            <w:r w:rsidRPr="00C049E0">
              <w:rPr>
                <w:sz w:val="24"/>
                <w:szCs w:val="24"/>
                <w:lang w:val="en-GB" w:eastAsia="ja-JP"/>
              </w:rPr>
              <w:t>Provide</w:t>
            </w:r>
            <w:r w:rsidRPr="00C049E0">
              <w:rPr>
                <w:sz w:val="24"/>
                <w:szCs w:val="24"/>
                <w:lang w:val="en-GB" w:eastAsia="ar-SA"/>
              </w:rPr>
              <w:t xml:space="preserve"> JANIS–TRANS Checker Log list on every preliminary TRANS-file. (+ bibliography checking and typo)</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A73</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Soppera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Provide JANIS Import Log created from the EXFOR Master File to Otsuka on a regular basis.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A74</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Assess the JANIS Import Log provided by </w:t>
            </w:r>
            <w:proofErr w:type="spellStart"/>
            <w:r w:rsidRPr="00C049E0">
              <w:rPr>
                <w:sz w:val="24"/>
                <w:szCs w:val="24"/>
                <w:lang w:val="en-GB" w:eastAsia="ja-JP"/>
              </w:rPr>
              <w:t>Soppera</w:t>
            </w:r>
            <w:proofErr w:type="spellEnd"/>
            <w:r w:rsidRPr="00C049E0">
              <w:rPr>
                <w:sz w:val="24"/>
                <w:szCs w:val="24"/>
                <w:lang w:val="en-GB" w:eastAsia="ja-JP"/>
              </w:rPr>
              <w:t xml:space="preserve"> as above, and register important errors to the EXFOR Feedback System.</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A75</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Cabellos</w:t>
            </w:r>
            <w:proofErr w:type="spellEnd"/>
          </w:p>
        </w:tc>
        <w:tc>
          <w:tcPr>
            <w:tcW w:w="6620" w:type="dxa"/>
          </w:tcPr>
          <w:p w:rsidR="00C049E0" w:rsidRPr="00C049E0" w:rsidRDefault="00C049E0" w:rsidP="00C049E0">
            <w:pPr>
              <w:suppressAutoHyphens/>
              <w:jc w:val="both"/>
              <w:rPr>
                <w:sz w:val="24"/>
                <w:szCs w:val="24"/>
                <w:lang w:val="en-GB" w:eastAsia="ar-SA"/>
              </w:rPr>
            </w:pPr>
            <w:r w:rsidRPr="00C049E0">
              <w:rPr>
                <w:sz w:val="24"/>
                <w:szCs w:val="24"/>
                <w:lang w:val="en-GB" w:eastAsia="ja-JP"/>
              </w:rPr>
              <w:t xml:space="preserve">(Continuing action) Inform Division of Nuclear Science of NEA the mistake in </w:t>
            </w:r>
            <w:r w:rsidRPr="00C049E0">
              <w:rPr>
                <w:sz w:val="24"/>
                <w:szCs w:val="24"/>
                <w:lang w:val="en-GB" w:eastAsia="ar-SA"/>
              </w:rPr>
              <w:t xml:space="preserve">SINBAD NEA-1552/14 </w:t>
            </w:r>
            <w:r w:rsidRPr="00C049E0">
              <w:rPr>
                <w:sz w:val="24"/>
                <w:szCs w:val="24"/>
                <w:lang w:val="en-GB" w:eastAsia="ja-JP"/>
              </w:rPr>
              <w:t>(CP-D/883=</w:t>
            </w:r>
            <w:r w:rsidRPr="00C049E0">
              <w:rPr>
                <w:sz w:val="24"/>
                <w:szCs w:val="24"/>
                <w:lang w:val="en-GB" w:eastAsia="ar-SA"/>
              </w:rPr>
              <w:t>WP2016-24</w:t>
            </w:r>
            <w:r w:rsidRPr="00C049E0">
              <w:rPr>
                <w:sz w:val="24"/>
                <w:szCs w:val="24"/>
                <w:lang w:val="en-GB" w:eastAsia="ja-JP"/>
              </w:rPr>
              <w:t>)</w:t>
            </w:r>
            <w:r w:rsidRPr="00C049E0">
              <w:rPr>
                <w:sz w:val="24"/>
                <w:szCs w:val="24"/>
                <w:lang w:val="en-GB" w:eastAsia="ar-SA"/>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p>
        </w:tc>
        <w:tc>
          <w:tcPr>
            <w:tcW w:w="1630" w:type="dxa"/>
          </w:tcPr>
          <w:p w:rsidR="00C049E0" w:rsidRPr="00C049E0" w:rsidRDefault="00C049E0" w:rsidP="00C049E0">
            <w:pPr>
              <w:suppressAutoHyphens/>
              <w:jc w:val="both"/>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9000" w:type="dxa"/>
            <w:gridSpan w:val="3"/>
          </w:tcPr>
          <w:p w:rsidR="00C049E0" w:rsidRPr="00C049E0" w:rsidRDefault="00C049E0" w:rsidP="00C049E0">
            <w:pPr>
              <w:suppressAutoHyphens/>
              <w:jc w:val="both"/>
              <w:rPr>
                <w:b/>
                <w:sz w:val="24"/>
                <w:szCs w:val="24"/>
                <w:lang w:val="en-GB" w:eastAsia="ja-JP"/>
              </w:rPr>
            </w:pPr>
            <w:r w:rsidRPr="00C049E0">
              <w:rPr>
                <w:b/>
                <w:sz w:val="24"/>
                <w:szCs w:val="24"/>
                <w:lang w:val="en-GB" w:eastAsia="ja-JP"/>
              </w:rPr>
              <w:t>EXFOR Coding Rule</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A76</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p w:rsidR="00C049E0" w:rsidRPr="00C049E0" w:rsidRDefault="00C049E0" w:rsidP="00C049E0">
            <w:pPr>
              <w:suppressAutoHyphens/>
              <w:jc w:val="both"/>
              <w:rPr>
                <w:strike/>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Submit a memo summarizing entries where the year of publication coded in the volume field must be deleted due to absence of the volume number in the journal </w:t>
            </w:r>
            <w:r w:rsidRPr="00C049E0">
              <w:rPr>
                <w:sz w:val="24"/>
                <w:szCs w:val="24"/>
                <w:u w:val="single"/>
                <w:lang w:val="en-GB" w:eastAsia="ja-JP"/>
              </w:rPr>
              <w:t>other than PTE</w:t>
            </w:r>
            <w:r w:rsidRPr="00C049E0">
              <w:rPr>
                <w:sz w:val="24"/>
                <w:szCs w:val="24"/>
                <w:lang w:val="en-GB" w:eastAsia="ja-JP"/>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A77</w:t>
            </w:r>
          </w:p>
        </w:tc>
        <w:tc>
          <w:tcPr>
            <w:tcW w:w="1630" w:type="dxa"/>
          </w:tcPr>
          <w:p w:rsidR="00C049E0" w:rsidRPr="00C049E0" w:rsidRDefault="00C049E0" w:rsidP="00C049E0">
            <w:pPr>
              <w:suppressAutoHyphens/>
              <w:jc w:val="both"/>
              <w:rPr>
                <w:strike/>
                <w:sz w:val="24"/>
                <w:szCs w:val="24"/>
                <w:lang w:val="en-GB" w:eastAsia="ja-JP"/>
              </w:rPr>
            </w:pPr>
            <w:proofErr w:type="spellStart"/>
            <w:r w:rsidRPr="00C049E0">
              <w:rPr>
                <w:sz w:val="24"/>
                <w:szCs w:val="24"/>
                <w:lang w:val="en-GB" w:eastAsia="ja-JP"/>
              </w:rPr>
              <w:t>Cabellos</w:t>
            </w:r>
            <w:proofErr w:type="spellEnd"/>
          </w:p>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Mikhailiukova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Check whether the current description of the eta value in LEXFOR defines the quantities compiled in entries listed in CP-D/789 (Rev.) (</w:t>
            </w:r>
            <w:r w:rsidRPr="00C049E0">
              <w:rPr>
                <w:i/>
                <w:sz w:val="24"/>
                <w:szCs w:val="24"/>
                <w:lang w:val="en-GB" w:eastAsia="ja-JP"/>
              </w:rPr>
              <w:t>e.g.</w:t>
            </w:r>
            <w:r w:rsidRPr="00C049E0">
              <w:rPr>
                <w:sz w:val="24"/>
                <w:szCs w:val="24"/>
                <w:lang w:val="en-GB" w:eastAsia="ja-JP"/>
              </w:rPr>
              <w:t>, whether the denominator is absorption cross section or non-elastic scattering cross section) in cooperation with Lee and Otsuka.</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A78</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Assess if coding rule of resonance parameters of reaction product is technically possible (CP-D/632=WP2016-27).</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A79</w:t>
            </w:r>
          </w:p>
        </w:tc>
        <w:tc>
          <w:tcPr>
            <w:tcW w:w="163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Propose a revised rule for compilation of the data renormalized, corrected or reassessed by other than the author not published in peer-reviewed journals.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trike/>
                <w:sz w:val="24"/>
                <w:szCs w:val="24"/>
                <w:lang w:val="en-GB" w:eastAsia="ja-JP"/>
              </w:rPr>
            </w:pPr>
          </w:p>
        </w:tc>
        <w:tc>
          <w:tcPr>
            <w:tcW w:w="1630" w:type="dxa"/>
          </w:tcPr>
          <w:p w:rsidR="00C049E0" w:rsidRPr="00C049E0" w:rsidRDefault="00C049E0" w:rsidP="00C049E0">
            <w:pPr>
              <w:suppressAutoHyphens/>
              <w:jc w:val="both"/>
              <w:rPr>
                <w:strike/>
                <w:sz w:val="24"/>
                <w:szCs w:val="24"/>
                <w:lang w:val="en-GB" w:eastAsia="ja-JP"/>
              </w:rPr>
            </w:pPr>
          </w:p>
        </w:tc>
        <w:tc>
          <w:tcPr>
            <w:tcW w:w="6620" w:type="dxa"/>
          </w:tcPr>
          <w:p w:rsidR="00C049E0" w:rsidRPr="00C049E0" w:rsidRDefault="00C049E0" w:rsidP="00C049E0">
            <w:pPr>
              <w:widowControl w:val="0"/>
              <w:autoSpaceDE w:val="0"/>
              <w:autoSpaceDN w:val="0"/>
              <w:adjustRightInd w:val="0"/>
              <w:jc w:val="both"/>
              <w:rPr>
                <w:strike/>
                <w:sz w:val="24"/>
                <w:szCs w:val="24"/>
                <w:lang w:val="en-GB" w:eastAsia="ja-JP"/>
              </w:rPr>
            </w:pPr>
          </w:p>
        </w:tc>
      </w:tr>
      <w:tr w:rsidR="00C049E0" w:rsidRPr="00C049E0" w:rsidTr="00586D83">
        <w:trPr>
          <w:cantSplit/>
        </w:trPr>
        <w:tc>
          <w:tcPr>
            <w:tcW w:w="9000" w:type="dxa"/>
            <w:gridSpan w:val="3"/>
          </w:tcPr>
          <w:p w:rsidR="00C049E0" w:rsidRPr="00C049E0" w:rsidRDefault="00C049E0" w:rsidP="00C049E0">
            <w:pPr>
              <w:suppressAutoHyphens/>
              <w:jc w:val="both"/>
              <w:rPr>
                <w:b/>
                <w:sz w:val="24"/>
                <w:szCs w:val="24"/>
                <w:lang w:val="en-GB" w:eastAsia="ja-JP"/>
              </w:rPr>
            </w:pPr>
            <w:r w:rsidRPr="00C049E0">
              <w:rPr>
                <w:b/>
                <w:sz w:val="24"/>
                <w:szCs w:val="24"/>
                <w:lang w:val="en-GB" w:eastAsia="ja-JP"/>
              </w:rPr>
              <w:t>Tools for Compilation and Dissemination</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lastRenderedPageBreak/>
              <w:t>A80</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Provide EXFOR News for every EXFOR Master File.</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A81</w:t>
            </w:r>
          </w:p>
        </w:tc>
        <w:tc>
          <w:tcPr>
            <w:tcW w:w="1630" w:type="dxa"/>
          </w:tcPr>
          <w:p w:rsidR="00C049E0" w:rsidRPr="00C049E0" w:rsidRDefault="00C049E0" w:rsidP="00C049E0">
            <w:pPr>
              <w:suppressAutoHyphens/>
              <w:rPr>
                <w:sz w:val="24"/>
                <w:szCs w:val="24"/>
                <w:lang w:val="en-GB" w:eastAsia="ja-JP"/>
              </w:rPr>
            </w:pPr>
            <w:proofErr w:type="spellStart"/>
            <w:r w:rsidRPr="00C049E0">
              <w:rPr>
                <w:sz w:val="24"/>
                <w:szCs w:val="24"/>
                <w:lang w:val="en-GB" w:eastAsia="ja-JP"/>
              </w:rPr>
              <w:t>Soppera</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Continue development and testing of the </w:t>
            </w:r>
            <w:r w:rsidRPr="00C049E0">
              <w:rPr>
                <w:sz w:val="24"/>
                <w:szCs w:val="24"/>
                <w:lang w:val="en-GB" w:eastAsia="ar-SA"/>
              </w:rPr>
              <w:t xml:space="preserve">JANIS –TRANS Checker </w:t>
            </w:r>
            <w:r w:rsidRPr="00C049E0">
              <w:rPr>
                <w:sz w:val="24"/>
                <w:szCs w:val="24"/>
                <w:lang w:val="en-GB" w:eastAsia="ja-JP"/>
              </w:rPr>
              <w:t>in cooperation with NDS and the other centres.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A82</w:t>
            </w:r>
          </w:p>
        </w:tc>
        <w:tc>
          <w:tcPr>
            <w:tcW w:w="1630" w:type="dxa"/>
          </w:tcPr>
          <w:p w:rsidR="00C049E0" w:rsidRPr="00C049E0" w:rsidRDefault="00C049E0" w:rsidP="00C049E0">
            <w:pPr>
              <w:suppressAutoHyphens/>
              <w:rPr>
                <w:sz w:val="24"/>
                <w:szCs w:val="24"/>
                <w:lang w:val="en-GB" w:eastAsia="ja-JP"/>
              </w:rPr>
            </w:pPr>
            <w:proofErr w:type="spellStart"/>
            <w:r w:rsidRPr="00C049E0">
              <w:rPr>
                <w:sz w:val="24"/>
                <w:szCs w:val="24"/>
                <w:lang w:val="en-GB" w:eastAsia="ja-JP"/>
              </w:rPr>
              <w:t>Zerkin</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Update ZCHEX based on comments from compilers (</w:t>
            </w:r>
            <w:r w:rsidRPr="00C049E0">
              <w:rPr>
                <w:i/>
                <w:sz w:val="24"/>
                <w:szCs w:val="24"/>
                <w:lang w:val="en-GB" w:eastAsia="ja-JP"/>
              </w:rPr>
              <w:t>e.g.</w:t>
            </w:r>
            <w:r w:rsidRPr="00C049E0">
              <w:rPr>
                <w:sz w:val="24"/>
                <w:szCs w:val="24"/>
                <w:lang w:val="en-GB" w:eastAsia="ja-JP"/>
              </w:rPr>
              <w:t>, WP2011-36).</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A83</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Provide feedback to NDS on the existing ZCHEX version (on bugs as well as desired additions.). Bugs must be reported with sample entries which are checked and not checked properly by ZCHEX.</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A84</w:t>
            </w:r>
          </w:p>
        </w:tc>
        <w:tc>
          <w:tcPr>
            <w:tcW w:w="1630" w:type="dxa"/>
          </w:tcPr>
          <w:p w:rsidR="00C049E0" w:rsidRPr="00C049E0" w:rsidRDefault="00C049E0" w:rsidP="00C049E0">
            <w:pPr>
              <w:suppressAutoHyphens/>
              <w:rPr>
                <w:sz w:val="24"/>
                <w:szCs w:val="24"/>
                <w:lang w:val="en-GB" w:eastAsia="ja-JP"/>
              </w:rPr>
            </w:pPr>
            <w:proofErr w:type="spellStart"/>
            <w:r w:rsidRPr="00C049E0">
              <w:rPr>
                <w:sz w:val="24"/>
                <w:szCs w:val="24"/>
                <w:lang w:val="en-GB" w:eastAsia="ja-JP"/>
              </w:rPr>
              <w:t>Zerkin</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Prepare examples of coding of covariance data for all EXFOR Entries having authors’ </w:t>
            </w:r>
            <w:proofErr w:type="spellStart"/>
            <w:r w:rsidRPr="00C049E0">
              <w:rPr>
                <w:sz w:val="24"/>
                <w:szCs w:val="24"/>
                <w:lang w:val="en-GB" w:eastAsia="ja-JP"/>
              </w:rPr>
              <w:t>covariances</w:t>
            </w:r>
            <w:proofErr w:type="spellEnd"/>
            <w:r w:rsidRPr="00C049E0">
              <w:rPr>
                <w:sz w:val="24"/>
                <w:szCs w:val="24"/>
                <w:lang w:val="en-GB" w:eastAsia="ja-JP"/>
              </w:rPr>
              <w:t>, and offer them to Data Centres according to Areas for finalizing and submitting to the database.</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A85</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Finalize and submit EXFOR entries including covariance data provided by </w:t>
            </w:r>
            <w:proofErr w:type="spellStart"/>
            <w:r w:rsidRPr="00C049E0">
              <w:rPr>
                <w:sz w:val="24"/>
                <w:szCs w:val="24"/>
                <w:lang w:val="en-GB" w:eastAsia="ja-JP"/>
              </w:rPr>
              <w:t>Zerkin</w:t>
            </w:r>
            <w:proofErr w:type="spellEnd"/>
            <w:r w:rsidRPr="00C049E0">
              <w:rPr>
                <w:sz w:val="24"/>
                <w:szCs w:val="24"/>
                <w:lang w:val="en-GB" w:eastAsia="ja-JP"/>
              </w:rPr>
              <w:t xml:space="preserve"> (WP2017-Z3).</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A86</w:t>
            </w:r>
          </w:p>
        </w:tc>
        <w:tc>
          <w:tcPr>
            <w:tcW w:w="1630" w:type="dxa"/>
          </w:tcPr>
          <w:p w:rsidR="00C049E0" w:rsidRPr="00C049E0" w:rsidRDefault="00C049E0" w:rsidP="00C049E0">
            <w:pPr>
              <w:suppressAutoHyphens/>
              <w:rPr>
                <w:sz w:val="24"/>
                <w:szCs w:val="24"/>
                <w:lang w:val="en-GB" w:eastAsia="ja-JP"/>
              </w:rPr>
            </w:pPr>
            <w:proofErr w:type="spellStart"/>
            <w:r w:rsidRPr="00C049E0">
              <w:rPr>
                <w:sz w:val="24"/>
                <w:szCs w:val="24"/>
                <w:lang w:val="en-GB" w:eastAsia="ja-JP"/>
              </w:rPr>
              <w:t>Zerkin</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Continue development of the EXFOR upload web tool.</w:t>
            </w:r>
          </w:p>
          <w:p w:rsidR="00C049E0" w:rsidRPr="00C049E0" w:rsidRDefault="00C049E0" w:rsidP="00C049E0">
            <w:pPr>
              <w:suppressAutoHyphens/>
              <w:jc w:val="both"/>
              <w:rPr>
                <w:sz w:val="24"/>
                <w:szCs w:val="24"/>
                <w:lang w:val="en-GB" w:eastAsia="ja-JP"/>
              </w:rPr>
            </w:pPr>
          </w:p>
        </w:tc>
      </w:tr>
      <w:tr w:rsidR="00C049E0" w:rsidRPr="00C049E0" w:rsidTr="00586D83">
        <w:trPr>
          <w:cantSplit/>
          <w:trHeight w:val="880"/>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A</w:t>
            </w:r>
            <w:r w:rsidRPr="00C049E0">
              <w:rPr>
                <w:sz w:val="24"/>
                <w:szCs w:val="24"/>
                <w:lang w:val="en-GB" w:eastAsia="ja-JP"/>
              </w:rPr>
              <w:t>87</w:t>
            </w:r>
          </w:p>
        </w:tc>
        <w:tc>
          <w:tcPr>
            <w:tcW w:w="1630" w:type="dxa"/>
          </w:tcPr>
          <w:p w:rsidR="00C049E0" w:rsidRPr="00C049E0" w:rsidRDefault="00C049E0" w:rsidP="00C049E0">
            <w:pPr>
              <w:suppressAutoHyphens/>
              <w:jc w:val="both"/>
              <w:rPr>
                <w:sz w:val="24"/>
                <w:szCs w:val="24"/>
                <w:lang w:val="en-GB" w:eastAsia="ar-SA"/>
              </w:rPr>
            </w:pPr>
            <w:proofErr w:type="spellStart"/>
            <w:r w:rsidRPr="00C049E0">
              <w:rPr>
                <w:sz w:val="24"/>
                <w:szCs w:val="24"/>
                <w:lang w:val="en-GB" w:eastAsia="ar-SA"/>
              </w:rPr>
              <w:t>Zerkin</w:t>
            </w:r>
            <w:proofErr w:type="spellEnd"/>
          </w:p>
        </w:tc>
        <w:tc>
          <w:tcPr>
            <w:tcW w:w="6620" w:type="dxa"/>
          </w:tcPr>
          <w:p w:rsidR="00C049E0" w:rsidRPr="00C049E0" w:rsidRDefault="00C049E0" w:rsidP="00C049E0">
            <w:pPr>
              <w:suppressAutoHyphens/>
              <w:jc w:val="both"/>
              <w:rPr>
                <w:sz w:val="24"/>
                <w:szCs w:val="24"/>
                <w:lang w:val="en-GB" w:eastAsia="ja-JP"/>
              </w:rPr>
            </w:pPr>
            <w:bookmarkStart w:id="10" w:name="OLE_LINK1"/>
            <w:r w:rsidRPr="00C049E0">
              <w:rPr>
                <w:sz w:val="24"/>
                <w:szCs w:val="24"/>
                <w:lang w:val="en-GB" w:eastAsia="ar-SA"/>
              </w:rPr>
              <w:t xml:space="preserve">(Continuing action) </w:t>
            </w:r>
            <w:bookmarkEnd w:id="10"/>
            <w:r w:rsidRPr="00C049E0">
              <w:rPr>
                <w:sz w:val="24"/>
                <w:szCs w:val="24"/>
                <w:lang w:val="en-GB" w:eastAsia="ar-SA"/>
              </w:rPr>
              <w:t>Every four months produce an EXFOR distribution with (a) full Dictionary distribution; (b) EXFOR in C4 and XC4 format; (c) Dictionaries in MS Access; (d) X4Map.</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A88</w:t>
            </w:r>
          </w:p>
        </w:tc>
        <w:tc>
          <w:tcPr>
            <w:tcW w:w="1630" w:type="dxa"/>
          </w:tcPr>
          <w:p w:rsidR="00C049E0" w:rsidRPr="00C049E0" w:rsidRDefault="00C049E0" w:rsidP="00C049E0">
            <w:pPr>
              <w:suppressAutoHyphens/>
              <w:jc w:val="both"/>
              <w:rPr>
                <w:sz w:val="24"/>
                <w:szCs w:val="24"/>
                <w:lang w:val="en-GB" w:eastAsia="ja-JP"/>
              </w:rPr>
            </w:pPr>
            <w:proofErr w:type="spellStart"/>
            <w:r w:rsidRPr="00C049E0">
              <w:rPr>
                <w:sz w:val="24"/>
                <w:szCs w:val="24"/>
                <w:lang w:val="en-GB" w:eastAsia="ja-JP"/>
              </w:rPr>
              <w:t>Zerkin</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Distribute the program package including a standalone platform independent program to generate X4+ from a standalone EXFOR entry.</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A</w:t>
            </w:r>
            <w:r w:rsidRPr="00C049E0">
              <w:rPr>
                <w:sz w:val="24"/>
                <w:szCs w:val="24"/>
                <w:lang w:val="en-GB" w:eastAsia="ja-JP"/>
              </w:rPr>
              <w:t>89</w:t>
            </w:r>
          </w:p>
        </w:tc>
        <w:tc>
          <w:tcPr>
            <w:tcW w:w="1630" w:type="dxa"/>
          </w:tcPr>
          <w:p w:rsidR="00C049E0" w:rsidRPr="00C049E0" w:rsidRDefault="00C049E0" w:rsidP="00C049E0">
            <w:pPr>
              <w:suppressAutoHyphens/>
              <w:jc w:val="both"/>
              <w:rPr>
                <w:sz w:val="24"/>
                <w:szCs w:val="24"/>
                <w:lang w:val="en-GB" w:eastAsia="ar-SA"/>
              </w:rPr>
            </w:pPr>
            <w:r w:rsidRPr="00C049E0">
              <w:rPr>
                <w:sz w:val="24"/>
                <w:szCs w:val="24"/>
                <w:lang w:val="en-GB" w:eastAsia="ar-SA"/>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w:t>
            </w:r>
            <w:r w:rsidRPr="00C049E0">
              <w:rPr>
                <w:sz w:val="24"/>
                <w:szCs w:val="24"/>
                <w:lang w:val="en-GB" w:eastAsia="ar-SA"/>
              </w:rPr>
              <w:t xml:space="preserve">Consider to use the X4+ format for author approval, and also send feedback to </w:t>
            </w:r>
            <w:proofErr w:type="spellStart"/>
            <w:r w:rsidRPr="00C049E0">
              <w:rPr>
                <w:sz w:val="24"/>
                <w:szCs w:val="24"/>
                <w:lang w:val="en-GB" w:eastAsia="ar-SA"/>
              </w:rPr>
              <w:t>Zerkin</w:t>
            </w:r>
            <w:proofErr w:type="spellEnd"/>
            <w:r w:rsidRPr="00C049E0">
              <w:rPr>
                <w:sz w:val="24"/>
                <w:szCs w:val="24"/>
                <w:lang w:val="en-GB" w:eastAsia="ar-SA"/>
              </w:rPr>
              <w:t>.</w:t>
            </w:r>
          </w:p>
          <w:p w:rsidR="00C049E0" w:rsidRPr="00C049E0" w:rsidRDefault="00C049E0" w:rsidP="00C049E0">
            <w:pPr>
              <w:suppressAutoHyphens/>
              <w:jc w:val="both"/>
              <w:rPr>
                <w:sz w:val="24"/>
                <w:szCs w:val="24"/>
                <w:lang w:val="en-GB" w:eastAsia="ar-SA"/>
              </w:rPr>
            </w:pPr>
          </w:p>
        </w:tc>
      </w:tr>
      <w:tr w:rsidR="00C049E0" w:rsidRPr="00C049E0" w:rsidTr="00586D83">
        <w:trPr>
          <w:cantSplit/>
        </w:trPr>
        <w:tc>
          <w:tcPr>
            <w:tcW w:w="75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A</w:t>
            </w:r>
            <w:r w:rsidRPr="00C049E0">
              <w:rPr>
                <w:sz w:val="24"/>
                <w:szCs w:val="24"/>
                <w:lang w:val="en-GB" w:eastAsia="ja-JP"/>
              </w:rPr>
              <w:t>90</w:t>
            </w:r>
          </w:p>
        </w:tc>
        <w:tc>
          <w:tcPr>
            <w:tcW w:w="1630" w:type="dxa"/>
          </w:tcPr>
          <w:p w:rsidR="00C049E0" w:rsidRPr="00C049E0" w:rsidRDefault="00C049E0" w:rsidP="00C049E0">
            <w:pPr>
              <w:suppressAutoHyphens/>
              <w:jc w:val="both"/>
              <w:rPr>
                <w:sz w:val="24"/>
                <w:szCs w:val="24"/>
                <w:lang w:val="en-GB" w:eastAsia="ar-SA"/>
              </w:rPr>
            </w:pPr>
            <w:proofErr w:type="spellStart"/>
            <w:r w:rsidRPr="00C049E0">
              <w:rPr>
                <w:sz w:val="24"/>
                <w:szCs w:val="24"/>
                <w:lang w:val="en-GB" w:eastAsia="ar-SA"/>
              </w:rPr>
              <w:t>Zerkin</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ar-SA"/>
              </w:rPr>
              <w:t xml:space="preserve">(Continuing action) </w:t>
            </w:r>
            <w:r w:rsidRPr="00C049E0">
              <w:rPr>
                <w:sz w:val="24"/>
                <w:szCs w:val="24"/>
                <w:lang w:val="en-GB" w:eastAsia="ja-JP"/>
              </w:rPr>
              <w:t>Continue</w:t>
            </w:r>
            <w:r w:rsidRPr="00C049E0">
              <w:rPr>
                <w:sz w:val="24"/>
                <w:szCs w:val="24"/>
                <w:lang w:val="en-GB" w:eastAsia="ar-SA"/>
              </w:rPr>
              <w:t xml:space="preserve"> </w:t>
            </w:r>
            <w:r w:rsidRPr="00C049E0">
              <w:rPr>
                <w:sz w:val="24"/>
                <w:szCs w:val="24"/>
                <w:lang w:val="en-GB" w:eastAsia="ja-JP"/>
              </w:rPr>
              <w:t xml:space="preserve">development of </w:t>
            </w:r>
            <w:r w:rsidRPr="00C049E0">
              <w:rPr>
                <w:sz w:val="24"/>
                <w:szCs w:val="24"/>
                <w:lang w:val="en-GB" w:eastAsia="ar-SA"/>
              </w:rPr>
              <w:t>a new database encompassing correction factors and relevant comments for suspect/erroneous data (X4-evaluated) presented in WP2010-19; keep NRDC informed about conclusions of discussions on new database.</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A91</w:t>
            </w:r>
          </w:p>
        </w:tc>
        <w:tc>
          <w:tcPr>
            <w:tcW w:w="1630" w:type="dxa"/>
          </w:tcPr>
          <w:p w:rsidR="00C049E0" w:rsidRPr="00C049E0" w:rsidRDefault="00C049E0" w:rsidP="00C049E0">
            <w:pPr>
              <w:suppressAutoHyphens/>
              <w:rPr>
                <w:sz w:val="24"/>
                <w:szCs w:val="24"/>
                <w:lang w:val="en-GB" w:eastAsia="ja-JP"/>
              </w:rPr>
            </w:pPr>
            <w:proofErr w:type="spellStart"/>
            <w:r w:rsidRPr="00C049E0">
              <w:rPr>
                <w:sz w:val="24"/>
                <w:szCs w:val="24"/>
                <w:lang w:val="en-GB" w:eastAsia="ja-JP"/>
              </w:rPr>
              <w:t>Zerkin</w:t>
            </w:r>
            <w:proofErr w:type="spellEnd"/>
          </w:p>
          <w:p w:rsidR="00C049E0" w:rsidRPr="00C049E0" w:rsidRDefault="00C049E0" w:rsidP="00C049E0">
            <w:pPr>
              <w:suppressAutoHyphens/>
              <w:rPr>
                <w:sz w:val="24"/>
                <w:szCs w:val="24"/>
                <w:lang w:val="en-GB" w:eastAsia="ja-JP"/>
              </w:rPr>
            </w:pPr>
            <w:proofErr w:type="spellStart"/>
            <w:r w:rsidRPr="00C049E0">
              <w:rPr>
                <w:sz w:val="24"/>
                <w:szCs w:val="24"/>
                <w:lang w:val="en-GB" w:eastAsia="ja-JP"/>
              </w:rPr>
              <w:t>Pritychenko</w:t>
            </w:r>
            <w:proofErr w:type="spellEnd"/>
          </w:p>
          <w:p w:rsidR="00C049E0" w:rsidRPr="00C049E0" w:rsidRDefault="00C049E0" w:rsidP="00C049E0">
            <w:pPr>
              <w:suppressAutoHyphens/>
              <w:rPr>
                <w:sz w:val="24"/>
                <w:szCs w:val="24"/>
                <w:lang w:val="en-GB" w:eastAsia="ja-JP"/>
              </w:rPr>
            </w:pPr>
          </w:p>
        </w:tc>
        <w:tc>
          <w:tcPr>
            <w:tcW w:w="6620" w:type="dxa"/>
          </w:tcPr>
          <w:p w:rsidR="00C049E0" w:rsidRPr="00C049E0" w:rsidRDefault="00C049E0" w:rsidP="00C049E0">
            <w:pPr>
              <w:suppressAutoHyphens/>
              <w:ind w:firstLine="17"/>
              <w:jc w:val="both"/>
              <w:rPr>
                <w:sz w:val="24"/>
                <w:szCs w:val="24"/>
                <w:lang w:val="en-GB" w:eastAsia="ja-JP"/>
              </w:rPr>
            </w:pPr>
            <w:r w:rsidRPr="00C049E0">
              <w:rPr>
                <w:sz w:val="24"/>
                <w:szCs w:val="24"/>
                <w:lang w:val="en-GB" w:eastAsia="ja-JP"/>
              </w:rPr>
              <w:t>(Continuing action) Continue translation from EXFOR to NSR.</w:t>
            </w: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A92</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Provide </w:t>
            </w:r>
            <w:proofErr w:type="spellStart"/>
            <w:r w:rsidRPr="00C049E0">
              <w:rPr>
                <w:sz w:val="24"/>
                <w:szCs w:val="24"/>
                <w:lang w:val="en-GB" w:eastAsia="ja-JP"/>
              </w:rPr>
              <w:t>Zerkin</w:t>
            </w:r>
            <w:proofErr w:type="spellEnd"/>
            <w:r w:rsidRPr="00C049E0">
              <w:rPr>
                <w:sz w:val="24"/>
                <w:szCs w:val="24"/>
                <w:lang w:val="en-GB" w:eastAsia="ja-JP"/>
              </w:rPr>
              <w:t xml:space="preserve"> a list of name aliases to improve the search of EXFOR entries by the author name (WP2014-53).</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lastRenderedPageBreak/>
              <w:t>A93</w:t>
            </w:r>
          </w:p>
        </w:tc>
        <w:tc>
          <w:tcPr>
            <w:tcW w:w="1630" w:type="dxa"/>
          </w:tcPr>
          <w:p w:rsidR="00C049E0" w:rsidRPr="00C049E0" w:rsidRDefault="00C049E0" w:rsidP="00C049E0">
            <w:pPr>
              <w:suppressAutoHyphens/>
              <w:rPr>
                <w:sz w:val="24"/>
                <w:szCs w:val="24"/>
                <w:lang w:val="en-GB" w:eastAsia="ja-JP"/>
              </w:rPr>
            </w:pPr>
            <w:proofErr w:type="spellStart"/>
            <w:r w:rsidRPr="00C049E0">
              <w:rPr>
                <w:sz w:val="24"/>
                <w:szCs w:val="24"/>
                <w:lang w:val="en-GB" w:eastAsia="ja-JP"/>
              </w:rPr>
              <w:t>Zerkin</w:t>
            </w:r>
            <w:proofErr w:type="spellEnd"/>
          </w:p>
        </w:tc>
        <w:tc>
          <w:tcPr>
            <w:tcW w:w="6620" w:type="dxa"/>
          </w:tcPr>
          <w:p w:rsidR="00C049E0" w:rsidRPr="00C049E0" w:rsidRDefault="00C049E0" w:rsidP="00C049E0">
            <w:pPr>
              <w:suppressAutoHyphens/>
              <w:ind w:firstLine="17"/>
              <w:jc w:val="both"/>
              <w:rPr>
                <w:sz w:val="24"/>
                <w:szCs w:val="24"/>
                <w:lang w:val="en-GB" w:eastAsia="ja-JP"/>
              </w:rPr>
            </w:pPr>
            <w:r w:rsidRPr="00C049E0">
              <w:rPr>
                <w:sz w:val="24"/>
                <w:szCs w:val="24"/>
                <w:lang w:val="en-GB" w:eastAsia="ja-JP"/>
              </w:rPr>
              <w:t>(Continuing action) Introduce flags to indicate articles published in conference proceedings and the data are not available from the authors on the EXFOR Compilation Control System web page.</w:t>
            </w:r>
          </w:p>
          <w:p w:rsidR="00C049E0" w:rsidRPr="00C049E0" w:rsidRDefault="00C049E0" w:rsidP="00C049E0">
            <w:pPr>
              <w:suppressAutoHyphens/>
              <w:ind w:firstLine="17"/>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A94</w:t>
            </w:r>
          </w:p>
        </w:tc>
        <w:tc>
          <w:tcPr>
            <w:tcW w:w="1630" w:type="dxa"/>
          </w:tcPr>
          <w:p w:rsidR="00C049E0" w:rsidRPr="00C049E0" w:rsidRDefault="00C049E0" w:rsidP="00C049E0">
            <w:pPr>
              <w:suppressAutoHyphens/>
              <w:rPr>
                <w:sz w:val="24"/>
                <w:szCs w:val="24"/>
                <w:lang w:val="en-GB" w:eastAsia="ja-JP"/>
              </w:rPr>
            </w:pPr>
            <w:proofErr w:type="spellStart"/>
            <w:r w:rsidRPr="00C049E0">
              <w:rPr>
                <w:sz w:val="24"/>
                <w:szCs w:val="24"/>
                <w:lang w:val="en-GB" w:eastAsia="ja-JP"/>
              </w:rPr>
              <w:t>Zerkin</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Consider translation of fission yields in EXFOR to a C4-like format in consultation with A. </w:t>
            </w:r>
            <w:proofErr w:type="spellStart"/>
            <w:r w:rsidRPr="00C049E0">
              <w:rPr>
                <w:sz w:val="24"/>
                <w:szCs w:val="24"/>
                <w:lang w:val="en-GB" w:eastAsia="ja-JP"/>
              </w:rPr>
              <w:t>Trkov</w:t>
            </w:r>
            <w:proofErr w:type="spellEnd"/>
            <w:r w:rsidRPr="00C049E0">
              <w:rPr>
                <w:sz w:val="24"/>
                <w:szCs w:val="24"/>
                <w:lang w:val="en-GB" w:eastAsia="ja-JP"/>
              </w:rPr>
              <w:t xml:space="preserve"> and B. </w:t>
            </w:r>
            <w:proofErr w:type="spellStart"/>
            <w:r w:rsidRPr="00C049E0">
              <w:rPr>
                <w:sz w:val="24"/>
                <w:szCs w:val="24"/>
                <w:lang w:val="en-GB" w:eastAsia="ja-JP"/>
              </w:rPr>
              <w:t>Pritychenko</w:t>
            </w:r>
            <w:proofErr w:type="spellEnd"/>
            <w:r w:rsidRPr="00C049E0">
              <w:rPr>
                <w:sz w:val="24"/>
                <w:szCs w:val="24"/>
                <w:lang w:val="en-GB" w:eastAsia="ja-JP"/>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ar-SA"/>
              </w:rPr>
              <w:t>A</w:t>
            </w:r>
            <w:r w:rsidRPr="00C049E0">
              <w:rPr>
                <w:sz w:val="24"/>
                <w:szCs w:val="24"/>
                <w:lang w:val="en-GB" w:eastAsia="ja-JP"/>
              </w:rPr>
              <w:t>95</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JCPRG</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Continue development and testing of </w:t>
            </w:r>
            <w:r w:rsidRPr="00C049E0">
              <w:rPr>
                <w:sz w:val="24"/>
                <w:szCs w:val="24"/>
                <w:lang w:val="en-GB" w:eastAsia="ar-SA"/>
              </w:rPr>
              <w:t>GSYS</w:t>
            </w:r>
            <w:r w:rsidRPr="00C049E0">
              <w:rPr>
                <w:sz w:val="24"/>
                <w:szCs w:val="24"/>
                <w:lang w:val="en-GB" w:eastAsia="ja-JP"/>
              </w:rPr>
              <w:t xml:space="preserve"> in cooperation with NDS and other centres</w:t>
            </w:r>
            <w:r w:rsidRPr="00C049E0">
              <w:rPr>
                <w:sz w:val="24"/>
                <w:szCs w:val="24"/>
                <w:lang w:val="en-GB" w:eastAsia="ar-SA"/>
              </w:rPr>
              <w:t>, taking into account compilers’ remarks</w:t>
            </w:r>
            <w:r w:rsidRPr="00C049E0">
              <w:rPr>
                <w:sz w:val="24"/>
                <w:szCs w:val="24"/>
                <w:lang w:val="en-GB" w:eastAsia="ja-JP"/>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A96</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w:t>
            </w:r>
            <w:r w:rsidRPr="00C049E0">
              <w:rPr>
                <w:sz w:val="24"/>
                <w:szCs w:val="24"/>
                <w:lang w:val="en-GB" w:eastAsia="ar-SA"/>
              </w:rPr>
              <w:t xml:space="preserve">Provide </w:t>
            </w:r>
            <w:r w:rsidRPr="00C049E0">
              <w:rPr>
                <w:sz w:val="24"/>
                <w:szCs w:val="24"/>
                <w:lang w:val="en-GB" w:eastAsia="ja-JP"/>
              </w:rPr>
              <w:t xml:space="preserve">JCPRG </w:t>
            </w:r>
            <w:r w:rsidRPr="00C049E0">
              <w:rPr>
                <w:sz w:val="24"/>
                <w:szCs w:val="24"/>
                <w:lang w:val="en-GB" w:eastAsia="ar-SA"/>
              </w:rPr>
              <w:t xml:space="preserve">feedback on </w:t>
            </w:r>
            <w:r w:rsidRPr="00C049E0">
              <w:rPr>
                <w:sz w:val="24"/>
                <w:szCs w:val="24"/>
                <w:lang w:val="en-GB" w:eastAsia="ja-JP"/>
              </w:rPr>
              <w:t>GSYS</w:t>
            </w:r>
            <w:r w:rsidRPr="00C049E0">
              <w:rPr>
                <w:sz w:val="24"/>
                <w:szCs w:val="24"/>
                <w:lang w:val="en-GB" w:eastAsia="ar-SA"/>
              </w:rPr>
              <w:t>.</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A97</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Otsuka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(Continuing Action) Support update of the Japanese editor (HENDEL) as time permits.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ar-SA"/>
              </w:rPr>
              <w:t>A</w:t>
            </w:r>
            <w:r w:rsidRPr="00C049E0">
              <w:rPr>
                <w:sz w:val="24"/>
                <w:szCs w:val="24"/>
                <w:lang w:val="en-GB" w:eastAsia="ja-JP"/>
              </w:rPr>
              <w:t>98</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CNPD</w:t>
            </w:r>
          </w:p>
        </w:tc>
        <w:tc>
          <w:tcPr>
            <w:tcW w:w="6620" w:type="dxa"/>
          </w:tcPr>
          <w:p w:rsidR="00C049E0" w:rsidRPr="00C049E0" w:rsidRDefault="00C049E0" w:rsidP="00C049E0">
            <w:pPr>
              <w:suppressAutoHyphens/>
              <w:jc w:val="both"/>
              <w:rPr>
                <w:sz w:val="24"/>
                <w:szCs w:val="24"/>
                <w:lang w:val="en-GB" w:eastAsia="ar-SA"/>
              </w:rPr>
            </w:pPr>
            <w:r w:rsidRPr="00C049E0">
              <w:rPr>
                <w:sz w:val="24"/>
                <w:szCs w:val="24"/>
                <w:lang w:val="en-GB" w:eastAsia="ar-SA"/>
              </w:rPr>
              <w:t xml:space="preserve">(Continuing Action) Continue development and testing of the EXFOR-Editor and </w:t>
            </w:r>
            <w:proofErr w:type="spellStart"/>
            <w:r w:rsidRPr="00C049E0">
              <w:rPr>
                <w:sz w:val="24"/>
                <w:szCs w:val="24"/>
                <w:lang w:val="en-GB" w:eastAsia="ja-JP"/>
              </w:rPr>
              <w:t>InpGraph</w:t>
            </w:r>
            <w:proofErr w:type="spellEnd"/>
            <w:r w:rsidRPr="00C049E0">
              <w:rPr>
                <w:sz w:val="24"/>
                <w:szCs w:val="24"/>
                <w:lang w:val="en-GB" w:eastAsia="ar-SA"/>
              </w:rPr>
              <w:t xml:space="preserve"> in cooperation with NDS and other data Centres, taking into account compilers’ remarks.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A99</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(Continuing Action) </w:t>
            </w:r>
            <w:r w:rsidRPr="00C049E0">
              <w:rPr>
                <w:sz w:val="24"/>
                <w:szCs w:val="24"/>
                <w:lang w:val="en-GB" w:eastAsia="ar-SA"/>
              </w:rPr>
              <w:t xml:space="preserve">Provide </w:t>
            </w:r>
            <w:r w:rsidRPr="00C049E0">
              <w:rPr>
                <w:sz w:val="24"/>
                <w:szCs w:val="24"/>
                <w:lang w:val="en-GB" w:eastAsia="ja-JP"/>
              </w:rPr>
              <w:t xml:space="preserve">CNPD </w:t>
            </w:r>
            <w:r w:rsidRPr="00C049E0">
              <w:rPr>
                <w:sz w:val="24"/>
                <w:szCs w:val="24"/>
                <w:lang w:val="en-GB" w:eastAsia="ar-SA"/>
              </w:rPr>
              <w:t xml:space="preserve">feedback on EXFOR-Editor </w:t>
            </w:r>
            <w:r w:rsidRPr="00C049E0">
              <w:rPr>
                <w:sz w:val="24"/>
                <w:szCs w:val="24"/>
                <w:lang w:val="en-GB" w:eastAsia="ja-JP"/>
              </w:rPr>
              <w:t xml:space="preserve">and </w:t>
            </w:r>
            <w:proofErr w:type="spellStart"/>
            <w:r w:rsidRPr="00C049E0">
              <w:rPr>
                <w:sz w:val="24"/>
                <w:szCs w:val="24"/>
                <w:lang w:val="en-GB" w:eastAsia="ja-JP"/>
              </w:rPr>
              <w:t>InpGraph</w:t>
            </w:r>
            <w:proofErr w:type="spellEnd"/>
            <w:r w:rsidRPr="00C049E0">
              <w:rPr>
                <w:sz w:val="24"/>
                <w:szCs w:val="24"/>
                <w:lang w:val="en-GB" w:eastAsia="ja-JP"/>
              </w:rPr>
              <w:t>.</w:t>
            </w:r>
          </w:p>
          <w:p w:rsidR="00C049E0" w:rsidRPr="00C049E0" w:rsidRDefault="00C049E0" w:rsidP="00C049E0">
            <w:pPr>
              <w:suppressAutoHyphens/>
              <w:jc w:val="both"/>
              <w:rPr>
                <w:sz w:val="24"/>
                <w:szCs w:val="24"/>
                <w:u w:val="single"/>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A100</w:t>
            </w:r>
          </w:p>
        </w:tc>
        <w:tc>
          <w:tcPr>
            <w:tcW w:w="1630" w:type="dxa"/>
          </w:tcPr>
          <w:p w:rsidR="00C049E0" w:rsidRPr="00C049E0" w:rsidRDefault="00C049E0" w:rsidP="00C049E0">
            <w:pPr>
              <w:suppressAutoHyphens/>
              <w:rPr>
                <w:sz w:val="24"/>
                <w:szCs w:val="24"/>
                <w:lang w:val="en-GB" w:eastAsia="ja-JP"/>
              </w:rPr>
            </w:pPr>
            <w:proofErr w:type="spellStart"/>
            <w:r w:rsidRPr="00C049E0">
              <w:rPr>
                <w:sz w:val="24"/>
                <w:szCs w:val="24"/>
                <w:lang w:val="en-GB" w:eastAsia="ja-JP"/>
              </w:rPr>
              <w:t>Zerkin</w:t>
            </w:r>
            <w:proofErr w:type="spellEnd"/>
          </w:p>
          <w:p w:rsidR="00C049E0" w:rsidRPr="00C049E0" w:rsidRDefault="00C049E0" w:rsidP="00C049E0">
            <w:pPr>
              <w:suppressAutoHyphens/>
              <w:rPr>
                <w:sz w:val="24"/>
                <w:szCs w:val="24"/>
                <w:lang w:val="en-GB" w:eastAsia="ja-JP"/>
              </w:rPr>
            </w:pPr>
            <w:proofErr w:type="spellStart"/>
            <w:r w:rsidRPr="00C049E0">
              <w:rPr>
                <w:sz w:val="24"/>
                <w:szCs w:val="24"/>
                <w:lang w:val="en-GB" w:eastAsia="ja-JP"/>
              </w:rPr>
              <w:t>Pikulina</w:t>
            </w:r>
            <w:proofErr w:type="spellEnd"/>
          </w:p>
          <w:p w:rsidR="00C049E0" w:rsidRPr="00C049E0" w:rsidRDefault="00C049E0" w:rsidP="00C049E0">
            <w:pPr>
              <w:suppressAutoHyphens/>
              <w:rPr>
                <w:sz w:val="24"/>
                <w:szCs w:val="24"/>
                <w:lang w:val="en-GB" w:eastAsia="ja-JP"/>
              </w:rPr>
            </w:pPr>
            <w:r w:rsidRPr="00C049E0">
              <w:rPr>
                <w:sz w:val="24"/>
                <w:szCs w:val="24"/>
                <w:lang w:val="en-GB" w:eastAsia="ja-JP"/>
              </w:rPr>
              <w:t>Chen</w:t>
            </w:r>
          </w:p>
          <w:p w:rsidR="00C049E0" w:rsidRPr="00C049E0" w:rsidRDefault="00C049E0" w:rsidP="00C049E0">
            <w:pPr>
              <w:suppressAutoHyphens/>
              <w:rPr>
                <w:sz w:val="24"/>
                <w:szCs w:val="24"/>
                <w:lang w:val="en-GB" w:eastAsia="ja-JP"/>
              </w:rPr>
            </w:pPr>
            <w:r w:rsidRPr="00C049E0">
              <w:rPr>
                <w:sz w:val="24"/>
                <w:szCs w:val="24"/>
                <w:lang w:val="en-GB" w:eastAsia="ja-JP"/>
              </w:rPr>
              <w:t>JCPRG</w:t>
            </w:r>
          </w:p>
          <w:p w:rsidR="00C049E0" w:rsidRPr="00C049E0" w:rsidRDefault="00C049E0" w:rsidP="00C049E0">
            <w:pPr>
              <w:suppressAutoHyphens/>
              <w:rPr>
                <w:sz w:val="24"/>
                <w:szCs w:val="24"/>
                <w:lang w:val="en-GB" w:eastAsia="ja-JP"/>
              </w:rPr>
            </w:pP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Study problems in 2D calibration of original pictures, and process of approval of results of digitizing using plotting facilities.</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A101</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All</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 xml:space="preserve">Provide </w:t>
            </w:r>
            <w:proofErr w:type="spellStart"/>
            <w:r w:rsidRPr="00C049E0">
              <w:rPr>
                <w:sz w:val="24"/>
                <w:szCs w:val="24"/>
                <w:lang w:val="en-GB" w:eastAsia="ja-JP"/>
              </w:rPr>
              <w:t>Taova</w:t>
            </w:r>
            <w:proofErr w:type="spellEnd"/>
            <w:r w:rsidRPr="00C049E0">
              <w:rPr>
                <w:sz w:val="24"/>
                <w:szCs w:val="24"/>
                <w:lang w:val="en-GB" w:eastAsia="ja-JP"/>
              </w:rPr>
              <w:t xml:space="preserve"> feedback on the booklet</w:t>
            </w:r>
            <w:r w:rsidRPr="00C049E0">
              <w:rPr>
                <w:rFonts w:hint="eastAsia"/>
                <w:sz w:val="24"/>
                <w:szCs w:val="24"/>
                <w:lang w:val="en-GB" w:eastAsia="ja-JP"/>
              </w:rPr>
              <w:t xml:space="preserve"> for promotion of EXFOR</w:t>
            </w:r>
            <w:r w:rsidRPr="00C049E0">
              <w:rPr>
                <w:sz w:val="24"/>
                <w:szCs w:val="24"/>
                <w:lang w:val="en-GB" w:eastAsia="ja-JP"/>
              </w:rPr>
              <w:t xml:space="preserve"> prepared by CNPD by the end of 2017.</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A102</w:t>
            </w:r>
          </w:p>
        </w:tc>
        <w:tc>
          <w:tcPr>
            <w:tcW w:w="1630" w:type="dxa"/>
          </w:tcPr>
          <w:p w:rsidR="00C049E0" w:rsidRPr="00C049E0" w:rsidRDefault="00C049E0" w:rsidP="00C049E0">
            <w:pPr>
              <w:suppressAutoHyphens/>
              <w:rPr>
                <w:sz w:val="24"/>
                <w:szCs w:val="24"/>
                <w:lang w:val="en-GB" w:eastAsia="ja-JP"/>
              </w:rPr>
            </w:pPr>
            <w:r w:rsidRPr="00C049E0">
              <w:rPr>
                <w:sz w:val="24"/>
                <w:szCs w:val="24"/>
                <w:lang w:val="en-GB" w:eastAsia="ja-JP"/>
              </w:rPr>
              <w:t>Bhattacharyya</w:t>
            </w:r>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Demonstrate the EXFOR-I editor in the NRDC 2018 meeting.</w:t>
            </w:r>
          </w:p>
          <w:p w:rsidR="00C049E0" w:rsidRPr="00C049E0" w:rsidRDefault="00C049E0" w:rsidP="00C049E0">
            <w:pPr>
              <w:suppressAutoHyphens/>
              <w:jc w:val="both"/>
              <w:rPr>
                <w:sz w:val="24"/>
                <w:szCs w:val="24"/>
                <w:lang w:val="en-GB" w:eastAsia="ja-JP"/>
              </w:rPr>
            </w:pPr>
          </w:p>
        </w:tc>
      </w:tr>
      <w:tr w:rsidR="00C049E0" w:rsidRPr="00C049E0" w:rsidTr="00586D83">
        <w:trPr>
          <w:cantSplit/>
        </w:trPr>
        <w:tc>
          <w:tcPr>
            <w:tcW w:w="750" w:type="dxa"/>
          </w:tcPr>
          <w:p w:rsidR="00C049E0" w:rsidRPr="00C049E0" w:rsidRDefault="00C049E0" w:rsidP="00C049E0">
            <w:pPr>
              <w:suppressAutoHyphens/>
              <w:rPr>
                <w:sz w:val="24"/>
                <w:szCs w:val="24"/>
                <w:lang w:val="en-GB" w:eastAsia="ja-JP"/>
              </w:rPr>
            </w:pPr>
            <w:r w:rsidRPr="00C049E0">
              <w:rPr>
                <w:sz w:val="24"/>
                <w:szCs w:val="24"/>
                <w:lang w:val="en-GB" w:eastAsia="ja-JP"/>
              </w:rPr>
              <w:t>A103</w:t>
            </w:r>
          </w:p>
        </w:tc>
        <w:tc>
          <w:tcPr>
            <w:tcW w:w="1630" w:type="dxa"/>
          </w:tcPr>
          <w:p w:rsidR="00C049E0" w:rsidRPr="00C049E0" w:rsidRDefault="00C049E0" w:rsidP="00C049E0">
            <w:pPr>
              <w:suppressAutoHyphens/>
              <w:rPr>
                <w:sz w:val="24"/>
                <w:szCs w:val="24"/>
                <w:lang w:val="en-GB" w:eastAsia="ja-JP"/>
              </w:rPr>
            </w:pPr>
            <w:proofErr w:type="spellStart"/>
            <w:r w:rsidRPr="00C049E0">
              <w:rPr>
                <w:sz w:val="24"/>
                <w:szCs w:val="24"/>
                <w:lang w:val="en-GB" w:eastAsia="ja-JP"/>
              </w:rPr>
              <w:t>Cabellos</w:t>
            </w:r>
            <w:proofErr w:type="spellEnd"/>
          </w:p>
        </w:tc>
        <w:tc>
          <w:tcPr>
            <w:tcW w:w="6620" w:type="dxa"/>
          </w:tcPr>
          <w:p w:rsidR="00C049E0" w:rsidRPr="00C049E0" w:rsidRDefault="00C049E0" w:rsidP="00C049E0">
            <w:pPr>
              <w:suppressAutoHyphens/>
              <w:jc w:val="both"/>
              <w:rPr>
                <w:sz w:val="24"/>
                <w:szCs w:val="24"/>
                <w:lang w:val="en-GB" w:eastAsia="ja-JP"/>
              </w:rPr>
            </w:pPr>
            <w:r w:rsidRPr="00C049E0">
              <w:rPr>
                <w:sz w:val="24"/>
                <w:szCs w:val="24"/>
                <w:lang w:val="en-GB" w:eastAsia="ja-JP"/>
              </w:rPr>
              <w:t>Make available on the NEA Data Bank web site the EANDC and NEANDC reports compiled in EXFOR and not available as INDC reports.</w:t>
            </w:r>
          </w:p>
        </w:tc>
      </w:tr>
    </w:tbl>
    <w:p w:rsidR="00C049E0" w:rsidRPr="00C049E0" w:rsidRDefault="00C049E0" w:rsidP="00C049E0">
      <w:pPr>
        <w:spacing w:after="200" w:line="276" w:lineRule="auto"/>
        <w:rPr>
          <w:rFonts w:asciiTheme="minorHAnsi" w:eastAsiaTheme="minorEastAsia" w:hAnsiTheme="minorHAnsi" w:cstheme="minorBidi"/>
          <w:sz w:val="22"/>
          <w:szCs w:val="22"/>
          <w:lang w:val="en-GB" w:eastAsia="ja-JP"/>
        </w:rPr>
      </w:pPr>
    </w:p>
    <w:p w:rsidR="000C1535" w:rsidRPr="000C1535" w:rsidRDefault="000C1535" w:rsidP="000C1535">
      <w:pPr>
        <w:pStyle w:val="HTMLPreformatted"/>
        <w:rPr>
          <w:rFonts w:ascii="Times New Roman" w:hAnsi="Times New Roman" w:cs="Times New Roman"/>
          <w:b/>
          <w:sz w:val="24"/>
          <w:szCs w:val="24"/>
          <w:lang w:val="en-GB" w:eastAsia="ja-JP"/>
        </w:rPr>
      </w:pPr>
    </w:p>
    <w:sectPr w:rsidR="000C1535" w:rsidRPr="000C1535" w:rsidSect="00745ADB">
      <w:type w:val="continuous"/>
      <w:pgSz w:w="11907" w:h="16839"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B9" w:rsidRDefault="000D0AB9">
      <w:r>
        <w:separator/>
      </w:r>
    </w:p>
  </w:endnote>
  <w:endnote w:type="continuationSeparator" w:id="0">
    <w:p w:rsidR="000D0AB9" w:rsidRDefault="000D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B9" w:rsidRDefault="000D0AB9">
      <w:r>
        <w:separator/>
      </w:r>
    </w:p>
  </w:footnote>
  <w:footnote w:type="continuationSeparator" w:id="0">
    <w:p w:rsidR="000D0AB9" w:rsidRDefault="000D0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1D32EFF"/>
    <w:multiLevelType w:val="hybridMultilevel"/>
    <w:tmpl w:val="0F14DD36"/>
    <w:lvl w:ilvl="0" w:tplc="1FD2447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nsid w:val="070D3B02"/>
    <w:multiLevelType w:val="hybridMultilevel"/>
    <w:tmpl w:val="112C3E20"/>
    <w:lvl w:ilvl="0" w:tplc="B25C1A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4">
    <w:nsid w:val="0EF3341D"/>
    <w:multiLevelType w:val="hybridMultilevel"/>
    <w:tmpl w:val="7116E5DE"/>
    <w:lvl w:ilvl="0" w:tplc="0419000F">
      <w:start w:val="1"/>
      <w:numFmt w:val="decimal"/>
      <w:lvlText w:val="%1."/>
      <w:lvlJc w:val="left"/>
      <w:pPr>
        <w:tabs>
          <w:tab w:val="num" w:pos="757"/>
        </w:tabs>
        <w:ind w:left="757" w:hanging="360"/>
      </w:pPr>
      <w:rPr>
        <w:rFonts w:hint="default"/>
      </w:rPr>
    </w:lvl>
    <w:lvl w:ilvl="1" w:tplc="38069BA2">
      <w:start w:val="1"/>
      <w:numFmt w:val="bullet"/>
      <w:lvlText w:val=""/>
      <w:lvlJc w:val="left"/>
      <w:pPr>
        <w:tabs>
          <w:tab w:val="num" w:pos="1392"/>
        </w:tabs>
        <w:ind w:left="1392" w:hanging="312"/>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B214D1"/>
    <w:multiLevelType w:val="hybridMultilevel"/>
    <w:tmpl w:val="8892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840B96"/>
    <w:multiLevelType w:val="hybridMultilevel"/>
    <w:tmpl w:val="61DCC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9A49F1"/>
    <w:multiLevelType w:val="hybridMultilevel"/>
    <w:tmpl w:val="EFCA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85F07DE"/>
    <w:multiLevelType w:val="multilevel"/>
    <w:tmpl w:val="64163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AC2487"/>
    <w:multiLevelType w:val="hybridMultilevel"/>
    <w:tmpl w:val="EDDE0DAC"/>
    <w:lvl w:ilvl="0" w:tplc="A588D3B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2">
    <w:nsid w:val="33C970DA"/>
    <w:multiLevelType w:val="hybridMultilevel"/>
    <w:tmpl w:val="5934A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6953E3"/>
    <w:multiLevelType w:val="hybridMultilevel"/>
    <w:tmpl w:val="D2C46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874D5F"/>
    <w:multiLevelType w:val="hybridMultilevel"/>
    <w:tmpl w:val="D40C6104"/>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4B247B4"/>
    <w:multiLevelType w:val="hybridMultilevel"/>
    <w:tmpl w:val="B91265F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39041D10"/>
    <w:multiLevelType w:val="hybridMultilevel"/>
    <w:tmpl w:val="61522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297F11"/>
    <w:multiLevelType w:val="hybridMultilevel"/>
    <w:tmpl w:val="1B0E3CC0"/>
    <w:lvl w:ilvl="0" w:tplc="0F5ED982">
      <w:start w:val="1"/>
      <w:numFmt w:val="bullet"/>
      <w:lvlText w:val=""/>
      <w:lvlJc w:val="left"/>
      <w:pPr>
        <w:ind w:left="420" w:hanging="420"/>
      </w:pPr>
      <w:rPr>
        <w:rFonts w:ascii="Wingdings" w:hAnsi="Wingdings" w:hint="default"/>
        <w:sz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03F62EC"/>
    <w:multiLevelType w:val="hybridMultilevel"/>
    <w:tmpl w:val="641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623A0"/>
    <w:multiLevelType w:val="hybridMultilevel"/>
    <w:tmpl w:val="429E2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54011B"/>
    <w:multiLevelType w:val="hybridMultilevel"/>
    <w:tmpl w:val="0C4E65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3713F"/>
    <w:multiLevelType w:val="hybridMultilevel"/>
    <w:tmpl w:val="9118D518"/>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52972E5"/>
    <w:multiLevelType w:val="hybridMultilevel"/>
    <w:tmpl w:val="26CE083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45C26428"/>
    <w:multiLevelType w:val="hybridMultilevel"/>
    <w:tmpl w:val="27EE31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46266C97"/>
    <w:multiLevelType w:val="hybridMultilevel"/>
    <w:tmpl w:val="6ADE6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2D6F97"/>
    <w:multiLevelType w:val="hybridMultilevel"/>
    <w:tmpl w:val="9B1CF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403258"/>
    <w:multiLevelType w:val="hybridMultilevel"/>
    <w:tmpl w:val="2936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612FB1"/>
    <w:multiLevelType w:val="hybridMultilevel"/>
    <w:tmpl w:val="86D8A158"/>
    <w:lvl w:ilvl="0" w:tplc="38069BA2">
      <w:start w:val="1"/>
      <w:numFmt w:val="bullet"/>
      <w:lvlText w:val=""/>
      <w:lvlJc w:val="left"/>
      <w:pPr>
        <w:tabs>
          <w:tab w:val="num" w:pos="709"/>
        </w:tabs>
        <w:ind w:left="709"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580D28"/>
    <w:multiLevelType w:val="hybridMultilevel"/>
    <w:tmpl w:val="C8F61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C6E4BC3"/>
    <w:multiLevelType w:val="multilevel"/>
    <w:tmpl w:val="9FDE9A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1">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32">
    <w:nsid w:val="54691011"/>
    <w:multiLevelType w:val="hybridMultilevel"/>
    <w:tmpl w:val="33709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B661E6"/>
    <w:multiLevelType w:val="hybridMultilevel"/>
    <w:tmpl w:val="DB782BE2"/>
    <w:lvl w:ilvl="0" w:tplc="7D34B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C225718"/>
    <w:multiLevelType w:val="hybridMultilevel"/>
    <w:tmpl w:val="F9D05E96"/>
    <w:lvl w:ilvl="0" w:tplc="0F5ED982">
      <w:start w:val="1"/>
      <w:numFmt w:val="bullet"/>
      <w:lvlText w:val=""/>
      <w:lvlJc w:val="left"/>
      <w:pPr>
        <w:ind w:left="420" w:hanging="420"/>
      </w:pPr>
      <w:rPr>
        <w:rFonts w:ascii="Wingdings" w:hAnsi="Wingdings" w:hint="default"/>
        <w:sz w:val="16"/>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D013286"/>
    <w:multiLevelType w:val="hybridMultilevel"/>
    <w:tmpl w:val="8C7E5098"/>
    <w:lvl w:ilvl="0" w:tplc="0809000F">
      <w:start w:val="1"/>
      <w:numFmt w:val="decimal"/>
      <w:lvlText w:val="%1."/>
      <w:lvlJc w:val="left"/>
      <w:pPr>
        <w:tabs>
          <w:tab w:val="num" w:pos="420"/>
        </w:tabs>
        <w:ind w:left="420" w:hanging="420"/>
      </w:pPr>
      <w:rPr>
        <w:rFonts w:hint="default"/>
        <w:color w:val="auto"/>
      </w:rPr>
    </w:lvl>
    <w:lvl w:ilvl="1" w:tplc="08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05F7424"/>
    <w:multiLevelType w:val="hybridMultilevel"/>
    <w:tmpl w:val="92204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991FC8"/>
    <w:multiLevelType w:val="hybridMultilevel"/>
    <w:tmpl w:val="97620A70"/>
    <w:lvl w:ilvl="0" w:tplc="7B1A133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1695511"/>
    <w:multiLevelType w:val="hybridMultilevel"/>
    <w:tmpl w:val="5A0E3908"/>
    <w:lvl w:ilvl="0" w:tplc="0F5ED9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18D2222"/>
    <w:multiLevelType w:val="hybridMultilevel"/>
    <w:tmpl w:val="5478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5117E28"/>
    <w:multiLevelType w:val="hybridMultilevel"/>
    <w:tmpl w:val="47AE579E"/>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65A42124"/>
    <w:multiLevelType w:val="hybridMultilevel"/>
    <w:tmpl w:val="336E9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432477"/>
    <w:multiLevelType w:val="hybridMultilevel"/>
    <w:tmpl w:val="476C6B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560069"/>
    <w:multiLevelType w:val="hybridMultilevel"/>
    <w:tmpl w:val="294CA9F6"/>
    <w:lvl w:ilvl="0" w:tplc="37F04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46">
    <w:nsid w:val="74A2369E"/>
    <w:multiLevelType w:val="hybridMultilevel"/>
    <w:tmpl w:val="3602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7235437"/>
    <w:multiLevelType w:val="hybridMultilevel"/>
    <w:tmpl w:val="EE281BB6"/>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77AC47F9"/>
    <w:multiLevelType w:val="hybridMultilevel"/>
    <w:tmpl w:val="DCC02D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2"/>
  </w:num>
  <w:num w:numId="2">
    <w:abstractNumId w:val="1"/>
  </w:num>
  <w:num w:numId="3">
    <w:abstractNumId w:val="38"/>
  </w:num>
  <w:num w:numId="4">
    <w:abstractNumId w:val="36"/>
  </w:num>
  <w:num w:numId="5">
    <w:abstractNumId w:val="48"/>
  </w:num>
  <w:num w:numId="6">
    <w:abstractNumId w:val="21"/>
  </w:num>
  <w:num w:numId="7">
    <w:abstractNumId w:val="41"/>
  </w:num>
  <w:num w:numId="8">
    <w:abstractNumId w:val="46"/>
  </w:num>
  <w:num w:numId="9">
    <w:abstractNumId w:val="13"/>
  </w:num>
  <w:num w:numId="10">
    <w:abstractNumId w:val="6"/>
  </w:num>
  <w:num w:numId="11">
    <w:abstractNumId w:val="40"/>
  </w:num>
  <w:num w:numId="12">
    <w:abstractNumId w:val="5"/>
  </w:num>
  <w:num w:numId="13">
    <w:abstractNumId w:val="37"/>
  </w:num>
  <w:num w:numId="14">
    <w:abstractNumId w:val="16"/>
  </w:num>
  <w:num w:numId="15">
    <w:abstractNumId w:val="2"/>
  </w:num>
  <w:num w:numId="16">
    <w:abstractNumId w:val="7"/>
  </w:num>
  <w:num w:numId="17">
    <w:abstractNumId w:val="27"/>
  </w:num>
  <w:num w:numId="18">
    <w:abstractNumId w:val="31"/>
  </w:num>
  <w:num w:numId="19">
    <w:abstractNumId w:val="8"/>
  </w:num>
  <w:num w:numId="20">
    <w:abstractNumId w:val="45"/>
  </w:num>
  <w:num w:numId="21">
    <w:abstractNumId w:val="11"/>
  </w:num>
  <w:num w:numId="22">
    <w:abstractNumId w:val="34"/>
  </w:num>
  <w:num w:numId="23">
    <w:abstractNumId w:val="47"/>
  </w:num>
  <w:num w:numId="24">
    <w:abstractNumId w:val="3"/>
  </w:num>
  <w:num w:numId="25">
    <w:abstractNumId w:val="10"/>
  </w:num>
  <w:num w:numId="26">
    <w:abstractNumId w:val="29"/>
  </w:num>
  <w:num w:numId="27">
    <w:abstractNumId w:val="14"/>
  </w:num>
  <w:num w:numId="28">
    <w:abstractNumId w:val="0"/>
  </w:num>
  <w:num w:numId="29">
    <w:abstractNumId w:val="30"/>
  </w:num>
  <w:num w:numId="30">
    <w:abstractNumId w:val="23"/>
  </w:num>
  <w:num w:numId="31">
    <w:abstractNumId w:val="49"/>
  </w:num>
  <w:num w:numId="32">
    <w:abstractNumId w:val="24"/>
  </w:num>
  <w:num w:numId="33">
    <w:abstractNumId w:val="15"/>
  </w:num>
  <w:num w:numId="34">
    <w:abstractNumId w:val="25"/>
  </w:num>
  <w:num w:numId="35">
    <w:abstractNumId w:val="28"/>
  </w:num>
  <w:num w:numId="36">
    <w:abstractNumId w:val="4"/>
  </w:num>
  <w:num w:numId="37">
    <w:abstractNumId w:val="26"/>
  </w:num>
  <w:num w:numId="38">
    <w:abstractNumId w:val="17"/>
  </w:num>
  <w:num w:numId="39">
    <w:abstractNumId w:val="35"/>
  </w:num>
  <w:num w:numId="40">
    <w:abstractNumId w:val="39"/>
  </w:num>
  <w:num w:numId="41">
    <w:abstractNumId w:val="42"/>
  </w:num>
  <w:num w:numId="42">
    <w:abstractNumId w:val="20"/>
  </w:num>
  <w:num w:numId="43">
    <w:abstractNumId w:val="32"/>
  </w:num>
  <w:num w:numId="44">
    <w:abstractNumId w:val="44"/>
  </w:num>
  <w:num w:numId="45">
    <w:abstractNumId w:val="33"/>
  </w:num>
  <w:num w:numId="46">
    <w:abstractNumId w:val="18"/>
  </w:num>
  <w:num w:numId="47">
    <w:abstractNumId w:val="43"/>
  </w:num>
  <w:num w:numId="48">
    <w:abstractNumId w:val="19"/>
  </w:num>
  <w:num w:numId="49">
    <w:abstractNumId w:val="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3A"/>
    <w:rsid w:val="0000377C"/>
    <w:rsid w:val="000044FA"/>
    <w:rsid w:val="000111F9"/>
    <w:rsid w:val="000127E7"/>
    <w:rsid w:val="00013208"/>
    <w:rsid w:val="00013979"/>
    <w:rsid w:val="00014DE6"/>
    <w:rsid w:val="00015571"/>
    <w:rsid w:val="00016E68"/>
    <w:rsid w:val="00024095"/>
    <w:rsid w:val="00026A3A"/>
    <w:rsid w:val="00027361"/>
    <w:rsid w:val="000309C8"/>
    <w:rsid w:val="00031B9B"/>
    <w:rsid w:val="000342E5"/>
    <w:rsid w:val="00036A60"/>
    <w:rsid w:val="000379DC"/>
    <w:rsid w:val="0004114A"/>
    <w:rsid w:val="0004168D"/>
    <w:rsid w:val="00042FB6"/>
    <w:rsid w:val="0005074C"/>
    <w:rsid w:val="00055AFE"/>
    <w:rsid w:val="00055F9F"/>
    <w:rsid w:val="00060471"/>
    <w:rsid w:val="00062172"/>
    <w:rsid w:val="00066178"/>
    <w:rsid w:val="0007052B"/>
    <w:rsid w:val="00077313"/>
    <w:rsid w:val="00081EBD"/>
    <w:rsid w:val="00087191"/>
    <w:rsid w:val="00090241"/>
    <w:rsid w:val="00091BAA"/>
    <w:rsid w:val="000A1233"/>
    <w:rsid w:val="000A1B44"/>
    <w:rsid w:val="000A5A9C"/>
    <w:rsid w:val="000B1581"/>
    <w:rsid w:val="000C1535"/>
    <w:rsid w:val="000C4EF6"/>
    <w:rsid w:val="000C509B"/>
    <w:rsid w:val="000D0AB9"/>
    <w:rsid w:val="000D42B9"/>
    <w:rsid w:val="000D4522"/>
    <w:rsid w:val="000D6DBC"/>
    <w:rsid w:val="000D7B8F"/>
    <w:rsid w:val="000E5A85"/>
    <w:rsid w:val="000F0AE5"/>
    <w:rsid w:val="000F0DE6"/>
    <w:rsid w:val="000F4532"/>
    <w:rsid w:val="000F6B2B"/>
    <w:rsid w:val="001118B1"/>
    <w:rsid w:val="00111C3A"/>
    <w:rsid w:val="0011504C"/>
    <w:rsid w:val="001161A8"/>
    <w:rsid w:val="00120512"/>
    <w:rsid w:val="00130D15"/>
    <w:rsid w:val="0013351E"/>
    <w:rsid w:val="001361AA"/>
    <w:rsid w:val="00137ADA"/>
    <w:rsid w:val="00145E03"/>
    <w:rsid w:val="001503B5"/>
    <w:rsid w:val="00154D11"/>
    <w:rsid w:val="001571C3"/>
    <w:rsid w:val="001579F3"/>
    <w:rsid w:val="00161433"/>
    <w:rsid w:val="0017013E"/>
    <w:rsid w:val="00182A50"/>
    <w:rsid w:val="00191555"/>
    <w:rsid w:val="00193CC2"/>
    <w:rsid w:val="001943D6"/>
    <w:rsid w:val="001A3EA9"/>
    <w:rsid w:val="001A4C53"/>
    <w:rsid w:val="001A5E0A"/>
    <w:rsid w:val="001B2919"/>
    <w:rsid w:val="001B771B"/>
    <w:rsid w:val="001C048A"/>
    <w:rsid w:val="001C0815"/>
    <w:rsid w:val="001C3AA2"/>
    <w:rsid w:val="001C503E"/>
    <w:rsid w:val="001C78F1"/>
    <w:rsid w:val="001D0CE1"/>
    <w:rsid w:val="001D28E9"/>
    <w:rsid w:val="001D29D9"/>
    <w:rsid w:val="001E39A9"/>
    <w:rsid w:val="001E3D0C"/>
    <w:rsid w:val="001F31AE"/>
    <w:rsid w:val="001F49C7"/>
    <w:rsid w:val="001F5441"/>
    <w:rsid w:val="001F7A1D"/>
    <w:rsid w:val="002034D8"/>
    <w:rsid w:val="00204F9D"/>
    <w:rsid w:val="00214CA3"/>
    <w:rsid w:val="0021770A"/>
    <w:rsid w:val="002205FA"/>
    <w:rsid w:val="00224289"/>
    <w:rsid w:val="0022440A"/>
    <w:rsid w:val="002271E4"/>
    <w:rsid w:val="00232C7C"/>
    <w:rsid w:val="00233227"/>
    <w:rsid w:val="00242474"/>
    <w:rsid w:val="0025421E"/>
    <w:rsid w:val="00255379"/>
    <w:rsid w:val="002628BF"/>
    <w:rsid w:val="002634A0"/>
    <w:rsid w:val="00264A0C"/>
    <w:rsid w:val="002679A3"/>
    <w:rsid w:val="00273D4D"/>
    <w:rsid w:val="002760D6"/>
    <w:rsid w:val="00277066"/>
    <w:rsid w:val="00277283"/>
    <w:rsid w:val="002805E5"/>
    <w:rsid w:val="00283570"/>
    <w:rsid w:val="002846CA"/>
    <w:rsid w:val="00287C3C"/>
    <w:rsid w:val="0029090B"/>
    <w:rsid w:val="002922B3"/>
    <w:rsid w:val="00297AA5"/>
    <w:rsid w:val="00297C85"/>
    <w:rsid w:val="002A6856"/>
    <w:rsid w:val="002B5F51"/>
    <w:rsid w:val="002C0996"/>
    <w:rsid w:val="002C260A"/>
    <w:rsid w:val="002C598A"/>
    <w:rsid w:val="002D4016"/>
    <w:rsid w:val="002D4296"/>
    <w:rsid w:val="002F7137"/>
    <w:rsid w:val="003030B4"/>
    <w:rsid w:val="00316527"/>
    <w:rsid w:val="00320637"/>
    <w:rsid w:val="003277D9"/>
    <w:rsid w:val="00345359"/>
    <w:rsid w:val="00354BFC"/>
    <w:rsid w:val="00354DC9"/>
    <w:rsid w:val="00354F52"/>
    <w:rsid w:val="0035576F"/>
    <w:rsid w:val="00371729"/>
    <w:rsid w:val="00372CE9"/>
    <w:rsid w:val="00375896"/>
    <w:rsid w:val="00381FB7"/>
    <w:rsid w:val="003918CB"/>
    <w:rsid w:val="003953E9"/>
    <w:rsid w:val="00397044"/>
    <w:rsid w:val="003B0E5D"/>
    <w:rsid w:val="003B7133"/>
    <w:rsid w:val="003C2216"/>
    <w:rsid w:val="003C2DA3"/>
    <w:rsid w:val="003C66B2"/>
    <w:rsid w:val="003D08C3"/>
    <w:rsid w:val="003D1263"/>
    <w:rsid w:val="003D35CF"/>
    <w:rsid w:val="003E1390"/>
    <w:rsid w:val="003E60BD"/>
    <w:rsid w:val="003F2C43"/>
    <w:rsid w:val="003F50ED"/>
    <w:rsid w:val="003F59F1"/>
    <w:rsid w:val="003F648E"/>
    <w:rsid w:val="0040283C"/>
    <w:rsid w:val="004046C6"/>
    <w:rsid w:val="00407532"/>
    <w:rsid w:val="00410FD9"/>
    <w:rsid w:val="00413CEC"/>
    <w:rsid w:val="00414104"/>
    <w:rsid w:val="004214B3"/>
    <w:rsid w:val="00421ABD"/>
    <w:rsid w:val="00422C1C"/>
    <w:rsid w:val="00427420"/>
    <w:rsid w:val="00430463"/>
    <w:rsid w:val="004328E1"/>
    <w:rsid w:val="00432C27"/>
    <w:rsid w:val="00434538"/>
    <w:rsid w:val="00434F88"/>
    <w:rsid w:val="00441FA5"/>
    <w:rsid w:val="004459CE"/>
    <w:rsid w:val="00445A85"/>
    <w:rsid w:val="00462498"/>
    <w:rsid w:val="004650B3"/>
    <w:rsid w:val="00485AA0"/>
    <w:rsid w:val="00494B1E"/>
    <w:rsid w:val="0049511E"/>
    <w:rsid w:val="004A022B"/>
    <w:rsid w:val="004A11DD"/>
    <w:rsid w:val="004A1FC8"/>
    <w:rsid w:val="004A7E6A"/>
    <w:rsid w:val="004B3254"/>
    <w:rsid w:val="004B5BD3"/>
    <w:rsid w:val="004B6676"/>
    <w:rsid w:val="004C0C32"/>
    <w:rsid w:val="004C3CBA"/>
    <w:rsid w:val="004C5CF2"/>
    <w:rsid w:val="004D0EA2"/>
    <w:rsid w:val="004D2749"/>
    <w:rsid w:val="004D413F"/>
    <w:rsid w:val="004E337D"/>
    <w:rsid w:val="004E6D5A"/>
    <w:rsid w:val="004F0ECA"/>
    <w:rsid w:val="004F4C37"/>
    <w:rsid w:val="004F64F3"/>
    <w:rsid w:val="005006FC"/>
    <w:rsid w:val="00501D42"/>
    <w:rsid w:val="00501ED6"/>
    <w:rsid w:val="0050498E"/>
    <w:rsid w:val="00504A25"/>
    <w:rsid w:val="005051BB"/>
    <w:rsid w:val="00505D40"/>
    <w:rsid w:val="0051513A"/>
    <w:rsid w:val="0053349C"/>
    <w:rsid w:val="005359D9"/>
    <w:rsid w:val="005370FF"/>
    <w:rsid w:val="005429F5"/>
    <w:rsid w:val="00542DE8"/>
    <w:rsid w:val="00542EEB"/>
    <w:rsid w:val="00543C40"/>
    <w:rsid w:val="00550063"/>
    <w:rsid w:val="00550A78"/>
    <w:rsid w:val="00552B09"/>
    <w:rsid w:val="00556AAA"/>
    <w:rsid w:val="005610FA"/>
    <w:rsid w:val="00561124"/>
    <w:rsid w:val="00562B27"/>
    <w:rsid w:val="0057110F"/>
    <w:rsid w:val="005729BC"/>
    <w:rsid w:val="00573E65"/>
    <w:rsid w:val="00592E17"/>
    <w:rsid w:val="0059441A"/>
    <w:rsid w:val="00596340"/>
    <w:rsid w:val="005A2A01"/>
    <w:rsid w:val="005A7AC6"/>
    <w:rsid w:val="005B15E2"/>
    <w:rsid w:val="005B2DBB"/>
    <w:rsid w:val="005B7E44"/>
    <w:rsid w:val="005C2FC6"/>
    <w:rsid w:val="005C71AB"/>
    <w:rsid w:val="005D2CE5"/>
    <w:rsid w:val="005D47AF"/>
    <w:rsid w:val="005E01D9"/>
    <w:rsid w:val="005E7DE4"/>
    <w:rsid w:val="005F0748"/>
    <w:rsid w:val="005F1A1A"/>
    <w:rsid w:val="005F3D78"/>
    <w:rsid w:val="005F3DD3"/>
    <w:rsid w:val="005F6EF4"/>
    <w:rsid w:val="00611C61"/>
    <w:rsid w:val="00613E67"/>
    <w:rsid w:val="00626CD4"/>
    <w:rsid w:val="00642848"/>
    <w:rsid w:val="00643517"/>
    <w:rsid w:val="006437BE"/>
    <w:rsid w:val="006500B5"/>
    <w:rsid w:val="006813F1"/>
    <w:rsid w:val="00684152"/>
    <w:rsid w:val="00684D78"/>
    <w:rsid w:val="00690396"/>
    <w:rsid w:val="00696562"/>
    <w:rsid w:val="006A0537"/>
    <w:rsid w:val="006A0D7F"/>
    <w:rsid w:val="006A398B"/>
    <w:rsid w:val="006A542E"/>
    <w:rsid w:val="006B122B"/>
    <w:rsid w:val="006B35E2"/>
    <w:rsid w:val="006C670E"/>
    <w:rsid w:val="006C7E95"/>
    <w:rsid w:val="006D13C0"/>
    <w:rsid w:val="006D3361"/>
    <w:rsid w:val="006F3549"/>
    <w:rsid w:val="006F38B8"/>
    <w:rsid w:val="006F4308"/>
    <w:rsid w:val="00702FC5"/>
    <w:rsid w:val="00707779"/>
    <w:rsid w:val="00713886"/>
    <w:rsid w:val="0071463A"/>
    <w:rsid w:val="007209FD"/>
    <w:rsid w:val="00723A44"/>
    <w:rsid w:val="0073542D"/>
    <w:rsid w:val="007363D6"/>
    <w:rsid w:val="007368FA"/>
    <w:rsid w:val="00742D11"/>
    <w:rsid w:val="00743B63"/>
    <w:rsid w:val="00744E9F"/>
    <w:rsid w:val="00745ADB"/>
    <w:rsid w:val="00747703"/>
    <w:rsid w:val="00752CB2"/>
    <w:rsid w:val="007531C7"/>
    <w:rsid w:val="007536D2"/>
    <w:rsid w:val="007552E3"/>
    <w:rsid w:val="00755CE0"/>
    <w:rsid w:val="00757CE0"/>
    <w:rsid w:val="00760057"/>
    <w:rsid w:val="0076007E"/>
    <w:rsid w:val="007621B1"/>
    <w:rsid w:val="00763276"/>
    <w:rsid w:val="00780E4B"/>
    <w:rsid w:val="00786396"/>
    <w:rsid w:val="0079080A"/>
    <w:rsid w:val="007912F1"/>
    <w:rsid w:val="0079156B"/>
    <w:rsid w:val="00795F4D"/>
    <w:rsid w:val="007964E8"/>
    <w:rsid w:val="007A43F6"/>
    <w:rsid w:val="007B47BF"/>
    <w:rsid w:val="007C00FE"/>
    <w:rsid w:val="007C0C11"/>
    <w:rsid w:val="007C2190"/>
    <w:rsid w:val="007C2E3B"/>
    <w:rsid w:val="007C6BF6"/>
    <w:rsid w:val="007C6D7F"/>
    <w:rsid w:val="007C79FB"/>
    <w:rsid w:val="007D267D"/>
    <w:rsid w:val="007D41E2"/>
    <w:rsid w:val="007D7A1B"/>
    <w:rsid w:val="007E235F"/>
    <w:rsid w:val="007E4301"/>
    <w:rsid w:val="007E4DFC"/>
    <w:rsid w:val="007F22F3"/>
    <w:rsid w:val="007F7F4B"/>
    <w:rsid w:val="00801FD2"/>
    <w:rsid w:val="00813AB2"/>
    <w:rsid w:val="00816BEF"/>
    <w:rsid w:val="008208DB"/>
    <w:rsid w:val="00820FD4"/>
    <w:rsid w:val="00824AA2"/>
    <w:rsid w:val="008336A6"/>
    <w:rsid w:val="00836089"/>
    <w:rsid w:val="00836E90"/>
    <w:rsid w:val="0084097B"/>
    <w:rsid w:val="00842B2E"/>
    <w:rsid w:val="00843CFF"/>
    <w:rsid w:val="00847EA9"/>
    <w:rsid w:val="0085560D"/>
    <w:rsid w:val="00857372"/>
    <w:rsid w:val="0086045B"/>
    <w:rsid w:val="008647CA"/>
    <w:rsid w:val="00866227"/>
    <w:rsid w:val="0087260C"/>
    <w:rsid w:val="00881145"/>
    <w:rsid w:val="00881FFD"/>
    <w:rsid w:val="008842A5"/>
    <w:rsid w:val="0088701A"/>
    <w:rsid w:val="00887FA5"/>
    <w:rsid w:val="00893F34"/>
    <w:rsid w:val="008A1C3B"/>
    <w:rsid w:val="008A51B0"/>
    <w:rsid w:val="008A7E65"/>
    <w:rsid w:val="008B351B"/>
    <w:rsid w:val="008B517D"/>
    <w:rsid w:val="008B7FBB"/>
    <w:rsid w:val="008C2C8D"/>
    <w:rsid w:val="008C51CE"/>
    <w:rsid w:val="008C55DB"/>
    <w:rsid w:val="008D0C8E"/>
    <w:rsid w:val="008D0FF2"/>
    <w:rsid w:val="008D2C99"/>
    <w:rsid w:val="008D55D9"/>
    <w:rsid w:val="008E1D90"/>
    <w:rsid w:val="008E5F78"/>
    <w:rsid w:val="008F3466"/>
    <w:rsid w:val="00902FB7"/>
    <w:rsid w:val="00904228"/>
    <w:rsid w:val="009117BF"/>
    <w:rsid w:val="00914AD8"/>
    <w:rsid w:val="00926F2E"/>
    <w:rsid w:val="00930FFA"/>
    <w:rsid w:val="00931FCC"/>
    <w:rsid w:val="00943A90"/>
    <w:rsid w:val="009463B6"/>
    <w:rsid w:val="00947728"/>
    <w:rsid w:val="00960127"/>
    <w:rsid w:val="00960E03"/>
    <w:rsid w:val="009634A2"/>
    <w:rsid w:val="00965B83"/>
    <w:rsid w:val="00966730"/>
    <w:rsid w:val="00966B64"/>
    <w:rsid w:val="00977377"/>
    <w:rsid w:val="00977FE7"/>
    <w:rsid w:val="009913B2"/>
    <w:rsid w:val="009A0715"/>
    <w:rsid w:val="009A0EB6"/>
    <w:rsid w:val="009A10A2"/>
    <w:rsid w:val="009A3B6A"/>
    <w:rsid w:val="009A494F"/>
    <w:rsid w:val="009A5327"/>
    <w:rsid w:val="009B337B"/>
    <w:rsid w:val="009B33B5"/>
    <w:rsid w:val="009B3525"/>
    <w:rsid w:val="009B572B"/>
    <w:rsid w:val="009B75E9"/>
    <w:rsid w:val="009C0C34"/>
    <w:rsid w:val="009C5A3F"/>
    <w:rsid w:val="009D01A7"/>
    <w:rsid w:val="009D0822"/>
    <w:rsid w:val="009D1392"/>
    <w:rsid w:val="009D377D"/>
    <w:rsid w:val="009D3CFA"/>
    <w:rsid w:val="009D61C1"/>
    <w:rsid w:val="009E0D4E"/>
    <w:rsid w:val="009E3983"/>
    <w:rsid w:val="009E4BF3"/>
    <w:rsid w:val="00A00A9E"/>
    <w:rsid w:val="00A02A4B"/>
    <w:rsid w:val="00A03245"/>
    <w:rsid w:val="00A03A2C"/>
    <w:rsid w:val="00A03AC7"/>
    <w:rsid w:val="00A10BA6"/>
    <w:rsid w:val="00A14408"/>
    <w:rsid w:val="00A26F9C"/>
    <w:rsid w:val="00A31496"/>
    <w:rsid w:val="00A32C1A"/>
    <w:rsid w:val="00A34B3A"/>
    <w:rsid w:val="00A42582"/>
    <w:rsid w:val="00A44B8A"/>
    <w:rsid w:val="00A45ACA"/>
    <w:rsid w:val="00A538EE"/>
    <w:rsid w:val="00A55DC9"/>
    <w:rsid w:val="00A637AA"/>
    <w:rsid w:val="00A645CA"/>
    <w:rsid w:val="00A700F5"/>
    <w:rsid w:val="00A71656"/>
    <w:rsid w:val="00A73111"/>
    <w:rsid w:val="00A80424"/>
    <w:rsid w:val="00A82D11"/>
    <w:rsid w:val="00A85C37"/>
    <w:rsid w:val="00A92621"/>
    <w:rsid w:val="00A95BD9"/>
    <w:rsid w:val="00AA10D2"/>
    <w:rsid w:val="00AA7CE0"/>
    <w:rsid w:val="00AA7DC3"/>
    <w:rsid w:val="00AB10E6"/>
    <w:rsid w:val="00AB408C"/>
    <w:rsid w:val="00AB4CB6"/>
    <w:rsid w:val="00AB6E82"/>
    <w:rsid w:val="00AC7C46"/>
    <w:rsid w:val="00AD0E30"/>
    <w:rsid w:val="00AD1624"/>
    <w:rsid w:val="00AE2D78"/>
    <w:rsid w:val="00AE5AAC"/>
    <w:rsid w:val="00AF4419"/>
    <w:rsid w:val="00B03F85"/>
    <w:rsid w:val="00B04FA2"/>
    <w:rsid w:val="00B12C8F"/>
    <w:rsid w:val="00B14A6E"/>
    <w:rsid w:val="00B16D2B"/>
    <w:rsid w:val="00B20300"/>
    <w:rsid w:val="00B22294"/>
    <w:rsid w:val="00B2438B"/>
    <w:rsid w:val="00B25C35"/>
    <w:rsid w:val="00B26882"/>
    <w:rsid w:val="00B26DBD"/>
    <w:rsid w:val="00B35176"/>
    <w:rsid w:val="00B41EFB"/>
    <w:rsid w:val="00B5025D"/>
    <w:rsid w:val="00B519B7"/>
    <w:rsid w:val="00B545B5"/>
    <w:rsid w:val="00B61559"/>
    <w:rsid w:val="00B652F6"/>
    <w:rsid w:val="00B66A0A"/>
    <w:rsid w:val="00B70CAE"/>
    <w:rsid w:val="00B71999"/>
    <w:rsid w:val="00B71B28"/>
    <w:rsid w:val="00B749FB"/>
    <w:rsid w:val="00B90B38"/>
    <w:rsid w:val="00B92323"/>
    <w:rsid w:val="00B93C0D"/>
    <w:rsid w:val="00BA26B8"/>
    <w:rsid w:val="00BA28ED"/>
    <w:rsid w:val="00BA5763"/>
    <w:rsid w:val="00BA5F09"/>
    <w:rsid w:val="00BA66CC"/>
    <w:rsid w:val="00BB78FF"/>
    <w:rsid w:val="00BC2002"/>
    <w:rsid w:val="00BC21B6"/>
    <w:rsid w:val="00BC4B28"/>
    <w:rsid w:val="00BD20AF"/>
    <w:rsid w:val="00BD7948"/>
    <w:rsid w:val="00BE05EC"/>
    <w:rsid w:val="00BE28EB"/>
    <w:rsid w:val="00BE6DF9"/>
    <w:rsid w:val="00C02CEA"/>
    <w:rsid w:val="00C04026"/>
    <w:rsid w:val="00C049E0"/>
    <w:rsid w:val="00C070C1"/>
    <w:rsid w:val="00C0794B"/>
    <w:rsid w:val="00C1254F"/>
    <w:rsid w:val="00C15C60"/>
    <w:rsid w:val="00C20B6C"/>
    <w:rsid w:val="00C2433D"/>
    <w:rsid w:val="00C247FC"/>
    <w:rsid w:val="00C25990"/>
    <w:rsid w:val="00C327F9"/>
    <w:rsid w:val="00C4557D"/>
    <w:rsid w:val="00C516F1"/>
    <w:rsid w:val="00C52340"/>
    <w:rsid w:val="00C548B3"/>
    <w:rsid w:val="00C56A5B"/>
    <w:rsid w:val="00C708D0"/>
    <w:rsid w:val="00C7169B"/>
    <w:rsid w:val="00C71DE7"/>
    <w:rsid w:val="00C748FC"/>
    <w:rsid w:val="00C84C3C"/>
    <w:rsid w:val="00C86992"/>
    <w:rsid w:val="00CA0D43"/>
    <w:rsid w:val="00CA19A1"/>
    <w:rsid w:val="00CB302A"/>
    <w:rsid w:val="00CB60A7"/>
    <w:rsid w:val="00CB6A27"/>
    <w:rsid w:val="00CC683C"/>
    <w:rsid w:val="00CC7D35"/>
    <w:rsid w:val="00CD4948"/>
    <w:rsid w:val="00CD4B43"/>
    <w:rsid w:val="00CD588F"/>
    <w:rsid w:val="00CD7244"/>
    <w:rsid w:val="00CE477A"/>
    <w:rsid w:val="00CF0454"/>
    <w:rsid w:val="00CF0FFE"/>
    <w:rsid w:val="00CF1312"/>
    <w:rsid w:val="00CF2D94"/>
    <w:rsid w:val="00D012D8"/>
    <w:rsid w:val="00D03479"/>
    <w:rsid w:val="00D03975"/>
    <w:rsid w:val="00D206F8"/>
    <w:rsid w:val="00D30AE3"/>
    <w:rsid w:val="00D34EEF"/>
    <w:rsid w:val="00D44064"/>
    <w:rsid w:val="00D564AB"/>
    <w:rsid w:val="00D576BF"/>
    <w:rsid w:val="00D60E2A"/>
    <w:rsid w:val="00D669D3"/>
    <w:rsid w:val="00D70FC0"/>
    <w:rsid w:val="00D770E3"/>
    <w:rsid w:val="00D776D1"/>
    <w:rsid w:val="00D779BD"/>
    <w:rsid w:val="00D87763"/>
    <w:rsid w:val="00D931D6"/>
    <w:rsid w:val="00D93A76"/>
    <w:rsid w:val="00D959D3"/>
    <w:rsid w:val="00DA4AE1"/>
    <w:rsid w:val="00DA7417"/>
    <w:rsid w:val="00DB409E"/>
    <w:rsid w:val="00DB481D"/>
    <w:rsid w:val="00DC504B"/>
    <w:rsid w:val="00DD4536"/>
    <w:rsid w:val="00DE48F3"/>
    <w:rsid w:val="00DF58D1"/>
    <w:rsid w:val="00E00C04"/>
    <w:rsid w:val="00E13B94"/>
    <w:rsid w:val="00E1610F"/>
    <w:rsid w:val="00E2197A"/>
    <w:rsid w:val="00E2628D"/>
    <w:rsid w:val="00E27973"/>
    <w:rsid w:val="00E31937"/>
    <w:rsid w:val="00E31F5C"/>
    <w:rsid w:val="00E35425"/>
    <w:rsid w:val="00E42FDE"/>
    <w:rsid w:val="00E45DA0"/>
    <w:rsid w:val="00E469FD"/>
    <w:rsid w:val="00E472E8"/>
    <w:rsid w:val="00E528E4"/>
    <w:rsid w:val="00E6272C"/>
    <w:rsid w:val="00E646D3"/>
    <w:rsid w:val="00E64A39"/>
    <w:rsid w:val="00E65D18"/>
    <w:rsid w:val="00E81028"/>
    <w:rsid w:val="00E87296"/>
    <w:rsid w:val="00E90A6D"/>
    <w:rsid w:val="00EA00C0"/>
    <w:rsid w:val="00EA2876"/>
    <w:rsid w:val="00EA5F14"/>
    <w:rsid w:val="00EB237E"/>
    <w:rsid w:val="00EB695C"/>
    <w:rsid w:val="00EB7C3B"/>
    <w:rsid w:val="00EC0314"/>
    <w:rsid w:val="00EC159E"/>
    <w:rsid w:val="00EC2495"/>
    <w:rsid w:val="00EC4B91"/>
    <w:rsid w:val="00EC6F1E"/>
    <w:rsid w:val="00ED37DE"/>
    <w:rsid w:val="00ED55F9"/>
    <w:rsid w:val="00ED57CD"/>
    <w:rsid w:val="00EE097A"/>
    <w:rsid w:val="00EE458F"/>
    <w:rsid w:val="00EE54E1"/>
    <w:rsid w:val="00EF2EA3"/>
    <w:rsid w:val="00EF5998"/>
    <w:rsid w:val="00F0060C"/>
    <w:rsid w:val="00F01B17"/>
    <w:rsid w:val="00F05F28"/>
    <w:rsid w:val="00F06137"/>
    <w:rsid w:val="00F11395"/>
    <w:rsid w:val="00F206D4"/>
    <w:rsid w:val="00F25E3A"/>
    <w:rsid w:val="00F32AD9"/>
    <w:rsid w:val="00F345FC"/>
    <w:rsid w:val="00F3732C"/>
    <w:rsid w:val="00F4192A"/>
    <w:rsid w:val="00F43978"/>
    <w:rsid w:val="00F43AE1"/>
    <w:rsid w:val="00F44B0D"/>
    <w:rsid w:val="00F47EBB"/>
    <w:rsid w:val="00F50474"/>
    <w:rsid w:val="00F51217"/>
    <w:rsid w:val="00F521FF"/>
    <w:rsid w:val="00F5353C"/>
    <w:rsid w:val="00F56269"/>
    <w:rsid w:val="00F57639"/>
    <w:rsid w:val="00F61575"/>
    <w:rsid w:val="00F671C1"/>
    <w:rsid w:val="00F73813"/>
    <w:rsid w:val="00F73BE8"/>
    <w:rsid w:val="00F77B20"/>
    <w:rsid w:val="00F80ECA"/>
    <w:rsid w:val="00F87EDB"/>
    <w:rsid w:val="00F95F7C"/>
    <w:rsid w:val="00F974BD"/>
    <w:rsid w:val="00F974E5"/>
    <w:rsid w:val="00FA6595"/>
    <w:rsid w:val="00FA74AA"/>
    <w:rsid w:val="00FB166E"/>
    <w:rsid w:val="00FB694E"/>
    <w:rsid w:val="00FC31F2"/>
    <w:rsid w:val="00FD311B"/>
    <w:rsid w:val="00FD3C73"/>
    <w:rsid w:val="00FE1E64"/>
    <w:rsid w:val="00FE2851"/>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20"/>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20"/>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20"/>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18"/>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19"/>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21"/>
      </w:numPr>
      <w:tabs>
        <w:tab w:val="left" w:pos="919"/>
      </w:tabs>
      <w:ind w:left="918" w:right="1134" w:hanging="459"/>
      <w:jc w:val="both"/>
    </w:pPr>
    <w:rPr>
      <w:sz w:val="22"/>
      <w:lang w:eastAsia="en-US"/>
    </w:rPr>
  </w:style>
  <w:style w:type="paragraph" w:customStyle="1" w:styleId="ListEmdash">
    <w:name w:val="List Emdash"/>
    <w:rsid w:val="00016E68"/>
    <w:pPr>
      <w:numPr>
        <w:numId w:val="22"/>
      </w:numPr>
      <w:ind w:right="1134"/>
      <w:jc w:val="both"/>
    </w:pPr>
    <w:rPr>
      <w:sz w:val="22"/>
      <w:lang w:eastAsia="en-US"/>
    </w:rPr>
  </w:style>
  <w:style w:type="paragraph" w:customStyle="1" w:styleId="ListNumbered">
    <w:name w:val="List Numbered"/>
    <w:rsid w:val="00016E68"/>
    <w:pPr>
      <w:numPr>
        <w:numId w:val="23"/>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24"/>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20"/>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20"/>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20"/>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18"/>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19"/>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21"/>
      </w:numPr>
      <w:tabs>
        <w:tab w:val="left" w:pos="919"/>
      </w:tabs>
      <w:ind w:left="918" w:right="1134" w:hanging="459"/>
      <w:jc w:val="both"/>
    </w:pPr>
    <w:rPr>
      <w:sz w:val="22"/>
      <w:lang w:eastAsia="en-US"/>
    </w:rPr>
  </w:style>
  <w:style w:type="paragraph" w:customStyle="1" w:styleId="ListEmdash">
    <w:name w:val="List Emdash"/>
    <w:rsid w:val="00016E68"/>
    <w:pPr>
      <w:numPr>
        <w:numId w:val="22"/>
      </w:numPr>
      <w:ind w:right="1134"/>
      <w:jc w:val="both"/>
    </w:pPr>
    <w:rPr>
      <w:sz w:val="22"/>
      <w:lang w:eastAsia="en-US"/>
    </w:rPr>
  </w:style>
  <w:style w:type="paragraph" w:customStyle="1" w:styleId="ListNumbered">
    <w:name w:val="List Numbered"/>
    <w:rsid w:val="00016E68"/>
    <w:pPr>
      <w:numPr>
        <w:numId w:val="23"/>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24"/>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FA72-A978-4D4C-A022-08E78844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3562</Words>
  <Characters>21802</Characters>
  <Application>Microsoft Office Word</Application>
  <DocSecurity>0</DocSecurity>
  <Lines>181</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25314</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11</cp:revision>
  <cp:lastPrinted>2013-11-13T17:33:00Z</cp:lastPrinted>
  <dcterms:created xsi:type="dcterms:W3CDTF">2017-05-30T12:02:00Z</dcterms:created>
  <dcterms:modified xsi:type="dcterms:W3CDTF">2017-05-31T19:58:00Z</dcterms:modified>
</cp:coreProperties>
</file>