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bookmarkStart w:id="0" w:name="_GoBack"/>
      <w:bookmarkEnd w:id="0"/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5F2AE2">
        <w:rPr>
          <w:b/>
          <w:sz w:val="24"/>
          <w:szCs w:val="24"/>
          <w:u w:val="single"/>
          <w:lang w:val="en-GB" w:eastAsia="ja-JP"/>
        </w:rPr>
        <w:t>55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D33C23">
        <w:rPr>
          <w:sz w:val="24"/>
          <w:szCs w:val="24"/>
          <w:lang w:val="en-GB"/>
        </w:rPr>
        <w:t>6</w:t>
      </w:r>
      <w:r w:rsidR="00763276" w:rsidRPr="001665E2">
        <w:rPr>
          <w:sz w:val="24"/>
          <w:szCs w:val="24"/>
          <w:lang w:val="en-GB"/>
        </w:rPr>
        <w:t xml:space="preserve"> </w:t>
      </w:r>
      <w:r w:rsidR="00D33C23">
        <w:rPr>
          <w:sz w:val="24"/>
          <w:szCs w:val="24"/>
          <w:lang w:val="en-GB"/>
        </w:rPr>
        <w:t>April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6711C6">
        <w:rPr>
          <w:sz w:val="24"/>
          <w:szCs w:val="24"/>
          <w:lang w:val="en-GB"/>
        </w:rPr>
        <w:t>8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01071A">
        <w:rPr>
          <w:snapToGrid w:val="0"/>
          <w:sz w:val="24"/>
          <w:szCs w:val="24"/>
          <w:lang w:val="en-GB" w:eastAsia="ja-JP"/>
        </w:rPr>
        <w:t>N</w:t>
      </w:r>
      <w:r w:rsidR="006711C6">
        <w:rPr>
          <w:snapToGrid w:val="0"/>
          <w:sz w:val="24"/>
          <w:szCs w:val="24"/>
          <w:lang w:val="en-GB" w:eastAsia="ja-JP"/>
        </w:rPr>
        <w:t xml:space="preserve">. </w:t>
      </w:r>
      <w:r w:rsidR="0001071A">
        <w:rPr>
          <w:snapToGrid w:val="0"/>
          <w:sz w:val="24"/>
          <w:szCs w:val="24"/>
          <w:lang w:val="en-GB" w:eastAsia="ja-JP"/>
        </w:rPr>
        <w:t>Otsuka</w:t>
      </w:r>
      <w:r w:rsidR="008E6FB0">
        <w:rPr>
          <w:snapToGrid w:val="0"/>
          <w:sz w:val="24"/>
          <w:szCs w:val="24"/>
          <w:lang w:val="en-GB" w:eastAsia="ja-JP"/>
        </w:rPr>
        <w:t xml:space="preserve">, S. </w:t>
      </w:r>
      <w:proofErr w:type="spellStart"/>
      <w:r w:rsidR="008E6FB0">
        <w:rPr>
          <w:snapToGrid w:val="0"/>
          <w:sz w:val="24"/>
          <w:szCs w:val="24"/>
          <w:lang w:val="en-GB" w:eastAsia="ja-JP"/>
        </w:rPr>
        <w:t>Selyankina</w:t>
      </w:r>
      <w:proofErr w:type="spellEnd"/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01071A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D33C23">
        <w:rPr>
          <w:b/>
          <w:sz w:val="24"/>
          <w:szCs w:val="24"/>
          <w:lang w:val="en-GB"/>
        </w:rPr>
        <w:t>Jo</w:t>
      </w:r>
      <w:r w:rsidR="00D33C23" w:rsidRPr="00D33C23">
        <w:rPr>
          <w:b/>
          <w:sz w:val="24"/>
          <w:szCs w:val="24"/>
          <w:lang w:val="en-GB"/>
        </w:rPr>
        <w:t>urnal coverage (scanning of new publications)</w:t>
      </w:r>
    </w:p>
    <w:p w:rsidR="00D33C23" w:rsidRDefault="00D33C23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F568B8" w:rsidRDefault="004E6668" w:rsidP="00E976F9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NDS maintains two lists of articles for EXFOR compilation:</w:t>
      </w:r>
    </w:p>
    <w:p w:rsidR="004E6668" w:rsidRPr="004E6668" w:rsidRDefault="004E6668" w:rsidP="00E976F9">
      <w:pPr>
        <w:pStyle w:val="ListParagraph"/>
        <w:numPr>
          <w:ilvl w:val="0"/>
          <w:numId w:val="18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 w:rsidRPr="004E6668">
        <w:rPr>
          <w:sz w:val="24"/>
          <w:szCs w:val="24"/>
          <w:lang w:val="en-GB" w:eastAsia="ja-JP"/>
        </w:rPr>
        <w:t>NewX4CoCoS: Articles found in regularly scanned journals</w:t>
      </w:r>
    </w:p>
    <w:p w:rsidR="004E6668" w:rsidRPr="004E6668" w:rsidRDefault="004E6668" w:rsidP="00E976F9">
      <w:pPr>
        <w:pStyle w:val="ListParagraph"/>
        <w:numPr>
          <w:ilvl w:val="0"/>
          <w:numId w:val="18"/>
        </w:num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 w:rsidRPr="004E6668">
        <w:rPr>
          <w:sz w:val="24"/>
          <w:szCs w:val="24"/>
          <w:lang w:val="en-GB" w:eastAsia="ja-JP"/>
        </w:rPr>
        <w:t>OldX4CoCoS: Articles found during literature survey for a specific field (e.g., dosimetry)</w:t>
      </w:r>
      <w:r>
        <w:rPr>
          <w:sz w:val="24"/>
          <w:szCs w:val="24"/>
          <w:lang w:val="en-GB" w:eastAsia="ja-JP"/>
        </w:rPr>
        <w:t>, mainly from old journal volumes not covered by regular scanning.</w:t>
      </w:r>
    </w:p>
    <w:p w:rsidR="00F568B8" w:rsidRDefault="004E6668" w:rsidP="00E976F9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Article Allocation List (</w:t>
      </w:r>
      <w:hyperlink r:id="rId9" w:history="1">
        <w:r w:rsidRPr="00681F44">
          <w:rPr>
            <w:rStyle w:val="Hyperlink"/>
            <w:sz w:val="24"/>
            <w:szCs w:val="24"/>
            <w:lang w:val="en-GB" w:eastAsia="ja-JP"/>
          </w:rPr>
          <w:t>https://www-nds.iaea.org/nrdc/alloc/</w:t>
        </w:r>
      </w:hyperlink>
      <w:r w:rsidR="008E6FB0">
        <w:rPr>
          <w:sz w:val="24"/>
          <w:szCs w:val="24"/>
          <w:lang w:val="en-GB" w:eastAsia="ja-JP"/>
        </w:rPr>
        <w:t>) summarizes these articles with links to Memos, and used by NDS to monitor progress in compilation and action</w:t>
      </w:r>
      <w:r>
        <w:rPr>
          <w:sz w:val="24"/>
          <w:szCs w:val="24"/>
          <w:lang w:val="en-GB" w:eastAsia="ja-JP"/>
        </w:rPr>
        <w:t xml:space="preserve">. </w:t>
      </w:r>
    </w:p>
    <w:p w:rsidR="00E806DB" w:rsidRDefault="00E806DB" w:rsidP="00E976F9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There are some issues within the range of </w:t>
      </w:r>
      <w:r w:rsidR="00E976F9">
        <w:rPr>
          <w:sz w:val="24"/>
          <w:szCs w:val="24"/>
          <w:lang w:val="en-GB" w:eastAsia="ja-JP"/>
        </w:rPr>
        <w:t>volumes/</w:t>
      </w:r>
      <w:r>
        <w:rPr>
          <w:sz w:val="24"/>
          <w:szCs w:val="24"/>
          <w:lang w:val="en-GB" w:eastAsia="ja-JP"/>
        </w:rPr>
        <w:t xml:space="preserve">years </w:t>
      </w:r>
      <w:r w:rsidR="00E976F9">
        <w:rPr>
          <w:sz w:val="24"/>
          <w:szCs w:val="24"/>
          <w:lang w:val="en-GB" w:eastAsia="ja-JP"/>
        </w:rPr>
        <w:t>but not scanned yet. We have filled such gaps for AE/T, AJ, AJ/L, AJ/S and ANE, and also plan to continue retroactive scanning for other journals.</w:t>
      </w:r>
    </w:p>
    <w:p w:rsidR="00E976F9" w:rsidRDefault="00E976F9" w:rsidP="00EA1A30">
      <w:pPr>
        <w:tabs>
          <w:tab w:val="left" w:pos="993"/>
        </w:tabs>
        <w:spacing w:before="240" w:after="60"/>
        <w:jc w:val="both"/>
        <w:rPr>
          <w:sz w:val="24"/>
          <w:szCs w:val="24"/>
          <w:lang w:val="en-GB" w:eastAsia="ja-JP"/>
        </w:rPr>
      </w:pPr>
      <w:r w:rsidRPr="00EA1A30">
        <w:rPr>
          <w:b/>
          <w:sz w:val="24"/>
          <w:szCs w:val="24"/>
          <w:u w:val="single"/>
          <w:lang w:val="en-GB" w:eastAsia="ja-JP"/>
        </w:rPr>
        <w:t>Journals covered by NewX4CoCoS</w:t>
      </w:r>
      <w:r w:rsidR="001A4677" w:rsidRPr="00EA1A30">
        <w:rPr>
          <w:b/>
          <w:sz w:val="24"/>
          <w:szCs w:val="24"/>
          <w:u w:val="single"/>
          <w:lang w:val="en-GB" w:eastAsia="ja-JP"/>
        </w:rPr>
        <w:t xml:space="preserve"> (77 journals in total, 56 journals are being scanned</w:t>
      </w:r>
      <w:proofErr w:type="gramStart"/>
      <w:r w:rsidR="001A4677" w:rsidRPr="00EA1A30">
        <w:rPr>
          <w:b/>
          <w:sz w:val="24"/>
          <w:szCs w:val="24"/>
          <w:u w:val="single"/>
          <w:lang w:val="en-GB" w:eastAsia="ja-JP"/>
        </w:rPr>
        <w:t>)</w:t>
      </w:r>
      <w:proofErr w:type="gramEnd"/>
      <w:r w:rsidR="00EA1A30">
        <w:rPr>
          <w:b/>
          <w:sz w:val="24"/>
          <w:szCs w:val="24"/>
          <w:lang w:val="en-GB" w:eastAsia="ja-JP"/>
        </w:rPr>
        <w:br/>
      </w:r>
      <w:r>
        <w:rPr>
          <w:sz w:val="24"/>
          <w:szCs w:val="24"/>
          <w:lang w:val="en-GB" w:eastAsia="ja-JP"/>
        </w:rPr>
        <w:t xml:space="preserve">(“From” and “To” fields give the range of the volumes (years) scanned. </w:t>
      </w:r>
      <w:r w:rsidRPr="00E976F9">
        <w:rPr>
          <w:sz w:val="24"/>
          <w:szCs w:val="24"/>
          <w:lang w:val="en-GB" w:eastAsia="ja-JP"/>
        </w:rPr>
        <w:t>In “To” field, *: currently scanned</w:t>
      </w:r>
      <w:proofErr w:type="gramStart"/>
      <w:r w:rsidRPr="00E976F9">
        <w:rPr>
          <w:sz w:val="24"/>
          <w:szCs w:val="24"/>
          <w:lang w:val="en-GB" w:eastAsia="ja-JP"/>
        </w:rPr>
        <w:t>, !</w:t>
      </w:r>
      <w:proofErr w:type="gramEnd"/>
      <w:r w:rsidRPr="00E976F9">
        <w:rPr>
          <w:sz w:val="24"/>
          <w:szCs w:val="24"/>
          <w:lang w:val="en-GB" w:eastAsia="ja-JP"/>
        </w:rPr>
        <w:t>: scanning temporarily suspended due to absence of the responsible regular staff member, ?: not clear if it is regularly scanned.).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4252"/>
      </w:tblGrid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Pr="00F568B8" w:rsidRDefault="00D33C23" w:rsidP="000F376F">
            <w:pPr>
              <w:rPr>
                <w:b/>
                <w:sz w:val="24"/>
                <w:szCs w:val="24"/>
                <w:lang w:val="en-GB" w:eastAsia="ja-JP"/>
              </w:rPr>
            </w:pPr>
            <w:r w:rsidRPr="00F568B8">
              <w:rPr>
                <w:b/>
                <w:sz w:val="24"/>
                <w:szCs w:val="24"/>
                <w:lang w:val="en-GB" w:eastAsia="ja-JP"/>
              </w:rPr>
              <w:t>Journal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Pr="00F568B8" w:rsidRDefault="00D33C23" w:rsidP="000F376F">
            <w:pPr>
              <w:rPr>
                <w:b/>
                <w:sz w:val="24"/>
                <w:szCs w:val="24"/>
                <w:lang w:val="en-GB" w:eastAsia="ja-JP"/>
              </w:rPr>
            </w:pPr>
            <w:r w:rsidRPr="00F568B8">
              <w:rPr>
                <w:b/>
                <w:sz w:val="24"/>
                <w:szCs w:val="24"/>
                <w:lang w:val="en-GB" w:eastAsia="ja-JP"/>
              </w:rPr>
              <w:t>From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Pr="00F568B8" w:rsidRDefault="00D33C23" w:rsidP="000F376F">
            <w:pPr>
              <w:rPr>
                <w:b/>
                <w:sz w:val="24"/>
                <w:szCs w:val="24"/>
                <w:lang w:val="en-GB" w:eastAsia="ja-JP"/>
              </w:rPr>
            </w:pPr>
            <w:r w:rsidRPr="00F568B8">
              <w:rPr>
                <w:b/>
                <w:sz w:val="24"/>
                <w:szCs w:val="24"/>
                <w:lang w:val="en-GB" w:eastAsia="ja-JP"/>
              </w:rPr>
              <w:t>To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Pr="00F568B8" w:rsidRDefault="00D33C23" w:rsidP="000F376F">
            <w:pPr>
              <w:rPr>
                <w:b/>
                <w:sz w:val="24"/>
                <w:szCs w:val="24"/>
                <w:lang w:val="en-GB" w:eastAsia="ja-JP"/>
              </w:rPr>
            </w:pPr>
            <w:r w:rsidRPr="00F568B8">
              <w:rPr>
                <w:b/>
                <w:sz w:val="24"/>
                <w:szCs w:val="24"/>
                <w:lang w:val="en-GB" w:eastAsia="ja-JP"/>
              </w:rPr>
              <w:t>Remark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ACA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555 (2006)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580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D33C23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AE/T</w:t>
            </w:r>
          </w:p>
        </w:tc>
        <w:tc>
          <w:tcPr>
            <w:tcW w:w="1701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94 (2003)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F568B8" w:rsidTr="00D33C23">
        <w:tc>
          <w:tcPr>
            <w:tcW w:w="1526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AIP-</w:t>
            </w: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F568B8" w:rsidTr="00D33C23">
        <w:tc>
          <w:tcPr>
            <w:tcW w:w="1526" w:type="dxa"/>
            <w:vMerge w:val="restart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AJ</w:t>
            </w: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636 (2006)</w:t>
            </w:r>
          </w:p>
        </w:tc>
        <w:tc>
          <w:tcPr>
            <w:tcW w:w="1417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653 (2006)</w:t>
            </w:r>
          </w:p>
        </w:tc>
        <w:tc>
          <w:tcPr>
            <w:tcW w:w="4252" w:type="dxa"/>
          </w:tcPr>
          <w:p w:rsidR="00F568B8" w:rsidRDefault="007C130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F568B8" w:rsidTr="00D33C23">
        <w:tc>
          <w:tcPr>
            <w:tcW w:w="1526" w:type="dxa"/>
            <w:vMerge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726 (2011)</w:t>
            </w:r>
          </w:p>
        </w:tc>
        <w:tc>
          <w:tcPr>
            <w:tcW w:w="1417" w:type="dxa"/>
          </w:tcPr>
          <w:p w:rsidR="00F568B8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NNDC</w:t>
            </w:r>
          </w:p>
        </w:tc>
      </w:tr>
      <w:tr w:rsidR="00F568B8" w:rsidTr="00D33C23">
        <w:tc>
          <w:tcPr>
            <w:tcW w:w="1526" w:type="dxa"/>
            <w:vMerge w:val="restart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AJ/L</w:t>
            </w: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636 (2006)</w:t>
            </w:r>
          </w:p>
        </w:tc>
        <w:tc>
          <w:tcPr>
            <w:tcW w:w="1417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653 (2006)</w:t>
            </w:r>
          </w:p>
        </w:tc>
        <w:tc>
          <w:tcPr>
            <w:tcW w:w="4252" w:type="dxa"/>
          </w:tcPr>
          <w:p w:rsidR="00F568B8" w:rsidRDefault="007C130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F568B8" w:rsidTr="00D33C23">
        <w:tc>
          <w:tcPr>
            <w:tcW w:w="1526" w:type="dxa"/>
            <w:vMerge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726 (2011)</w:t>
            </w:r>
          </w:p>
        </w:tc>
        <w:tc>
          <w:tcPr>
            <w:tcW w:w="1417" w:type="dxa"/>
          </w:tcPr>
          <w:p w:rsidR="00F568B8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NNDC</w:t>
            </w:r>
          </w:p>
        </w:tc>
      </w:tr>
      <w:tr w:rsidR="00F568B8" w:rsidTr="00D33C23">
        <w:tc>
          <w:tcPr>
            <w:tcW w:w="1526" w:type="dxa"/>
            <w:vMerge w:val="restart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AJ/S</w:t>
            </w: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162 (2006)</w:t>
            </w:r>
          </w:p>
        </w:tc>
        <w:tc>
          <w:tcPr>
            <w:tcW w:w="1417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167 (2006)</w:t>
            </w:r>
          </w:p>
        </w:tc>
        <w:tc>
          <w:tcPr>
            <w:tcW w:w="4252" w:type="dxa"/>
          </w:tcPr>
          <w:p w:rsidR="00F568B8" w:rsidRDefault="007C130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F568B8" w:rsidTr="00D33C23">
        <w:tc>
          <w:tcPr>
            <w:tcW w:w="1526" w:type="dxa"/>
            <w:vMerge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192 (2011)</w:t>
            </w:r>
          </w:p>
        </w:tc>
        <w:tc>
          <w:tcPr>
            <w:tcW w:w="1417" w:type="dxa"/>
          </w:tcPr>
          <w:p w:rsidR="00F568B8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F568B8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NNDC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27 (2000)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ANP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14 (2005)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16 (2007)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D33C23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APP/B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34 (2003)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APPL/A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82 (2006)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85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APPL/B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82 (2006)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85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ARI</w:t>
            </w:r>
          </w:p>
        </w:tc>
        <w:tc>
          <w:tcPr>
            <w:tcW w:w="1701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54 (2001)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64 (2000)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CNPD + NDS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BJE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50 (2004)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52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lastRenderedPageBreak/>
              <w:t>CHP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(1963)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CJP</w:t>
            </w:r>
          </w:p>
        </w:tc>
        <w:tc>
          <w:tcPr>
            <w:tcW w:w="1701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81 (2003)</w:t>
            </w:r>
          </w:p>
        </w:tc>
        <w:tc>
          <w:tcPr>
            <w:tcW w:w="1417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82 (2004)</w:t>
            </w:r>
          </w:p>
        </w:tc>
        <w:tc>
          <w:tcPr>
            <w:tcW w:w="4252" w:type="dxa"/>
            <w:shd w:val="pct10" w:color="auto" w:fill="auto"/>
          </w:tcPr>
          <w:p w:rsidR="00D33C23" w:rsidRDefault="00D33C23" w:rsidP="00D33C23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CPH</w:t>
            </w:r>
          </w:p>
        </w:tc>
        <w:tc>
          <w:tcPr>
            <w:tcW w:w="1701" w:type="dxa"/>
            <w:shd w:val="pct10" w:color="auto" w:fill="auto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12 (2003)</w:t>
            </w:r>
          </w:p>
        </w:tc>
        <w:tc>
          <w:tcPr>
            <w:tcW w:w="1417" w:type="dxa"/>
            <w:shd w:val="pct10" w:color="auto" w:fill="auto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16 (2007)</w:t>
            </w:r>
          </w:p>
        </w:tc>
        <w:tc>
          <w:tcPr>
            <w:tcW w:w="4252" w:type="dxa"/>
            <w:shd w:val="pct10" w:color="auto" w:fill="auto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Renamed to CPH/B.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CPL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 (2005)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CZJ</w:t>
            </w:r>
          </w:p>
        </w:tc>
        <w:tc>
          <w:tcPr>
            <w:tcW w:w="1701" w:type="dxa"/>
            <w:shd w:val="pct10" w:color="auto" w:fill="auto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55 (2005)</w:t>
            </w:r>
          </w:p>
        </w:tc>
        <w:tc>
          <w:tcPr>
            <w:tcW w:w="1417" w:type="dxa"/>
            <w:shd w:val="pct10" w:color="auto" w:fill="auto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56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556170" w:rsidP="0087205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Renamed to EPJ/D.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EPJ/A</w:t>
            </w:r>
          </w:p>
        </w:tc>
        <w:tc>
          <w:tcPr>
            <w:tcW w:w="1701" w:type="dxa"/>
          </w:tcPr>
          <w:p w:rsidR="00D33C23" w:rsidRDefault="0055617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(1998)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EPJ/AS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EPJ/C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45 (2006)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EPJ/CS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EPJ/ST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EUL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49 (2000)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80 (2007)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86 (2011)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FIZ/B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10 (2001)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18 (2009)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HFH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36 (2014)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IJP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78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IMP/E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14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IPA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(1963)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Old volumes scanned by NDPCI.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IPC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94 (2004)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IRE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51 (2004)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52 (2005)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ISINN-</w:t>
            </w:r>
          </w:p>
        </w:tc>
        <w:tc>
          <w:tcPr>
            <w:tcW w:w="1701" w:type="dxa"/>
          </w:tcPr>
          <w:p w:rsidR="00D33C23" w:rsidRDefault="002B6607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(1994)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JAEA-C-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JAP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95 (2004)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100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JEL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(1965)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98 (2004)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JLCR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50 (2007)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50 (2007)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JNRS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(2000)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11 (2010)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JP/CS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JP/D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38 (2005)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39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JP/G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JPJ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74 (2005)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JAEA+NDS.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JRN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243 (2000)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KPS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(1968)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KT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69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NF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45 (2005)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46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NIM/A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516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NIM/B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213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NP/A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697 (2002)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NSE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128 (1998)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NST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36 (1999)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NSTP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NSTS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NT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145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63 (2000)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PCN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(2001)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26 (2005)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PHE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(1977)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31 (2007</w:t>
            </w:r>
            <w:r w:rsidR="00F568B8">
              <w:rPr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Renamed to CPH/C.</w:t>
            </w:r>
          </w:p>
        </w:tc>
      </w:tr>
      <w:tr w:rsidR="006E4716" w:rsidTr="00D33C23">
        <w:tc>
          <w:tcPr>
            <w:tcW w:w="1526" w:type="dxa"/>
          </w:tcPr>
          <w:p w:rsidR="006E4716" w:rsidRDefault="006E4716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PL/B</w:t>
            </w:r>
          </w:p>
        </w:tc>
        <w:tc>
          <w:tcPr>
            <w:tcW w:w="1701" w:type="dxa"/>
          </w:tcPr>
          <w:p w:rsidR="006E4716" w:rsidRDefault="006E4716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65 (2005)</w:t>
            </w:r>
          </w:p>
        </w:tc>
        <w:tc>
          <w:tcPr>
            <w:tcW w:w="1417" w:type="dxa"/>
          </w:tcPr>
          <w:p w:rsidR="006E4716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6E4716" w:rsidRDefault="006E4716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PPN/L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(2004)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lastRenderedPageBreak/>
              <w:t>PPRC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EXFOR related issues only.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PR/C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65 (2002)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PRL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94 (2005)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PRM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 (1973)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Old volumes scanned by NDPCI.</w:t>
            </w: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PTEP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2013 (2013)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Scanned by JAEA+NDS.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PTP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115 (2006)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128 (2012)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Renamed to PTEP.</w:t>
            </w: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RAK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48 (2006)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48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RBF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31 (2001)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RCA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90 (2002)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RDC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46 (2004)</w:t>
            </w:r>
          </w:p>
        </w:tc>
        <w:tc>
          <w:tcPr>
            <w:tcW w:w="1417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53 (2011)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RJP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50 (2005)</w:t>
            </w:r>
          </w:p>
        </w:tc>
        <w:tc>
          <w:tcPr>
            <w:tcW w:w="1417" w:type="dxa"/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39 (2005)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C23" w:rsidRDefault="008E6FB0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D33C23" w:rsidTr="004E6668">
        <w:tc>
          <w:tcPr>
            <w:tcW w:w="1526" w:type="dxa"/>
            <w:shd w:val="pct10" w:color="auto" w:fill="auto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SPS</w:t>
            </w:r>
          </w:p>
        </w:tc>
        <w:tc>
          <w:tcPr>
            <w:tcW w:w="1701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48 (2005)</w:t>
            </w:r>
          </w:p>
        </w:tc>
        <w:tc>
          <w:tcPr>
            <w:tcW w:w="1417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49 (2006)</w:t>
            </w:r>
          </w:p>
        </w:tc>
        <w:tc>
          <w:tcPr>
            <w:tcW w:w="4252" w:type="dxa"/>
            <w:shd w:val="pct10" w:color="auto" w:fill="auto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Stopped.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UJP</w:t>
            </w:r>
          </w:p>
        </w:tc>
        <w:tc>
          <w:tcPr>
            <w:tcW w:w="1701" w:type="dxa"/>
          </w:tcPr>
          <w:p w:rsidR="00D33C23" w:rsidRDefault="0087205F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49 (2005)</w:t>
            </w:r>
          </w:p>
        </w:tc>
        <w:tc>
          <w:tcPr>
            <w:tcW w:w="1417" w:type="dxa"/>
          </w:tcPr>
          <w:p w:rsidR="00D33C23" w:rsidRDefault="001A0F8E" w:rsidP="008E6FB0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!</w:t>
            </w:r>
          </w:p>
        </w:tc>
        <w:tc>
          <w:tcPr>
            <w:tcW w:w="4252" w:type="dxa"/>
          </w:tcPr>
          <w:p w:rsidR="00D33C23" w:rsidRDefault="0080353B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Scanned by </w:t>
            </w:r>
            <w:proofErr w:type="spellStart"/>
            <w:r>
              <w:rPr>
                <w:sz w:val="24"/>
                <w:szCs w:val="24"/>
                <w:lang w:val="en-GB" w:eastAsia="ja-JP"/>
              </w:rPr>
              <w:t>UkrNDC+NDS</w:t>
            </w:r>
            <w:proofErr w:type="spellEnd"/>
            <w:r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D33C23" w:rsidTr="00D33C23">
        <w:tc>
          <w:tcPr>
            <w:tcW w:w="1526" w:type="dxa"/>
          </w:tcPr>
          <w:p w:rsidR="00D33C23" w:rsidRDefault="00D33C23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YFE</w:t>
            </w:r>
          </w:p>
        </w:tc>
        <w:tc>
          <w:tcPr>
            <w:tcW w:w="1701" w:type="dxa"/>
          </w:tcPr>
          <w:p w:rsidR="00D33C23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 (2006)</w:t>
            </w:r>
          </w:p>
        </w:tc>
        <w:tc>
          <w:tcPr>
            <w:tcW w:w="1417" w:type="dxa"/>
          </w:tcPr>
          <w:p w:rsidR="00D33C23" w:rsidRDefault="00A85FE7" w:rsidP="008E6FB0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4252" w:type="dxa"/>
          </w:tcPr>
          <w:p w:rsidR="00D33C23" w:rsidRDefault="00F568B8" w:rsidP="000F376F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Scanned by </w:t>
            </w:r>
            <w:proofErr w:type="spellStart"/>
            <w:r>
              <w:rPr>
                <w:sz w:val="24"/>
                <w:szCs w:val="24"/>
                <w:lang w:val="en-GB" w:eastAsia="ja-JP"/>
              </w:rPr>
              <w:t>UkrNDC</w:t>
            </w:r>
            <w:proofErr w:type="spellEnd"/>
          </w:p>
        </w:tc>
      </w:tr>
    </w:tbl>
    <w:p w:rsidR="00D33C23" w:rsidRDefault="00D33C23" w:rsidP="000F376F">
      <w:pPr>
        <w:rPr>
          <w:sz w:val="24"/>
          <w:szCs w:val="24"/>
          <w:lang w:val="en-GB" w:eastAsia="ja-JP"/>
        </w:rPr>
      </w:pPr>
    </w:p>
    <w:p w:rsidR="00E976F9" w:rsidRDefault="000B276F" w:rsidP="005346A3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Note that </w:t>
      </w:r>
      <w:r w:rsidRPr="000B276F">
        <w:rPr>
          <w:b/>
          <w:sz w:val="24"/>
          <w:szCs w:val="24"/>
          <w:lang w:val="en-GB" w:eastAsia="ja-JP"/>
        </w:rPr>
        <w:t>NDS is responsible for scanning of five journals only (ARI, NP/A, NIM/A, NIM/B, PL/B)</w:t>
      </w:r>
      <w:r>
        <w:rPr>
          <w:sz w:val="24"/>
          <w:szCs w:val="24"/>
          <w:lang w:val="en-GB" w:eastAsia="ja-JP"/>
        </w:rPr>
        <w:t xml:space="preserve"> though NDS scans other journals on a voluntary basis. Other centres are expected to inform NDS scanned result including (1) scanned volumes and issues, and (2) page numbers if EXFOR related articles exist. </w:t>
      </w:r>
      <w:r w:rsidR="005346A3">
        <w:rPr>
          <w:sz w:val="24"/>
          <w:szCs w:val="24"/>
          <w:lang w:val="en-GB" w:eastAsia="ja-JP"/>
        </w:rPr>
        <w:t xml:space="preserve">In order to clarify this point, we suggest </w:t>
      </w:r>
      <w:proofErr w:type="gramStart"/>
      <w:r w:rsidR="005346A3">
        <w:rPr>
          <w:sz w:val="24"/>
          <w:szCs w:val="24"/>
          <w:lang w:val="en-GB" w:eastAsia="ja-JP"/>
        </w:rPr>
        <w:t>to modify</w:t>
      </w:r>
      <w:proofErr w:type="gramEnd"/>
      <w:r w:rsidR="005346A3">
        <w:rPr>
          <w:sz w:val="24"/>
          <w:szCs w:val="24"/>
          <w:lang w:val="en-GB" w:eastAsia="ja-JP"/>
        </w:rPr>
        <w:t xml:space="preserve"> the current description in the </w:t>
      </w:r>
      <w:r w:rsidR="00E976F9">
        <w:rPr>
          <w:sz w:val="24"/>
          <w:szCs w:val="24"/>
          <w:lang w:val="en-GB" w:eastAsia="ja-JP"/>
        </w:rPr>
        <w:t>NRDC Protocol IAEA-NDS-215 Rev. 2015/05</w:t>
      </w:r>
      <w:r w:rsidR="005346A3">
        <w:rPr>
          <w:sz w:val="24"/>
          <w:szCs w:val="24"/>
          <w:lang w:val="en-GB" w:eastAsia="ja-JP"/>
        </w:rPr>
        <w:t xml:space="preserve"> “</w:t>
      </w:r>
      <w:r w:rsidR="005346A3" w:rsidRPr="005346A3">
        <w:rPr>
          <w:b/>
          <w:sz w:val="24"/>
          <w:szCs w:val="24"/>
          <w:lang w:val="en-GB" w:eastAsia="ja-JP"/>
        </w:rPr>
        <w:t>Journal Scanning Responsibility</w:t>
      </w:r>
      <w:r w:rsidR="005346A3">
        <w:rPr>
          <w:sz w:val="24"/>
          <w:szCs w:val="24"/>
          <w:lang w:val="en-GB" w:eastAsia="ja-JP"/>
        </w:rPr>
        <w:t>” as follows:</w:t>
      </w:r>
    </w:p>
    <w:p w:rsidR="000B276F" w:rsidRDefault="000B276F" w:rsidP="000F376F">
      <w:pPr>
        <w:rPr>
          <w:sz w:val="24"/>
          <w:szCs w:val="24"/>
          <w:lang w:val="en-GB" w:eastAsia="ja-JP"/>
        </w:rPr>
      </w:pPr>
    </w:p>
    <w:p w:rsidR="000B276F" w:rsidRDefault="000B276F" w:rsidP="005346A3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eastAsia="en-US"/>
        </w:rPr>
      </w:pPr>
      <w:r w:rsidRPr="000B276F">
        <w:rPr>
          <w:sz w:val="24"/>
          <w:szCs w:val="24"/>
          <w:lang w:eastAsia="en-US"/>
        </w:rPr>
        <w:t xml:space="preserve">NDS will assign areas of responsibility for journal scanning. </w:t>
      </w:r>
      <w:r w:rsidRPr="000B276F">
        <w:rPr>
          <w:rFonts w:hint="eastAsia"/>
          <w:sz w:val="24"/>
          <w:szCs w:val="24"/>
          <w:lang w:eastAsia="en-US"/>
        </w:rPr>
        <w:t xml:space="preserve">Each </w:t>
      </w:r>
      <w:proofErr w:type="spellStart"/>
      <w:r w:rsidRPr="000B276F">
        <w:rPr>
          <w:rFonts w:hint="eastAsia"/>
          <w:sz w:val="24"/>
          <w:szCs w:val="24"/>
          <w:lang w:eastAsia="en-US"/>
        </w:rPr>
        <w:t>centre</w:t>
      </w:r>
      <w:proofErr w:type="spellEnd"/>
      <w:r w:rsidRPr="000B276F">
        <w:rPr>
          <w:rFonts w:hint="eastAsia"/>
          <w:sz w:val="24"/>
          <w:szCs w:val="24"/>
          <w:lang w:eastAsia="en-US"/>
        </w:rPr>
        <w:t xml:space="preserve"> will </w:t>
      </w:r>
      <w:r w:rsidRPr="005346A3">
        <w:rPr>
          <w:rFonts w:hint="eastAsia"/>
          <w:strike/>
          <w:sz w:val="24"/>
          <w:szCs w:val="24"/>
          <w:lang w:eastAsia="en-US"/>
        </w:rPr>
        <w:t>report</w:t>
      </w:r>
      <w:r w:rsidR="005346A3">
        <w:rPr>
          <w:sz w:val="24"/>
          <w:szCs w:val="24"/>
          <w:lang w:eastAsia="en-US"/>
        </w:rPr>
        <w:t xml:space="preserve"> </w:t>
      </w:r>
      <w:r w:rsidR="005346A3">
        <w:rPr>
          <w:sz w:val="24"/>
          <w:szCs w:val="24"/>
          <w:u w:val="single"/>
          <w:lang w:eastAsia="en-US"/>
        </w:rPr>
        <w:t>regularly send</w:t>
      </w:r>
      <w:r w:rsidR="005346A3">
        <w:rPr>
          <w:sz w:val="24"/>
          <w:szCs w:val="24"/>
          <w:lang w:eastAsia="en-US"/>
        </w:rPr>
        <w:t xml:space="preserve"> NDS</w:t>
      </w:r>
      <w:r w:rsidRPr="000B276F">
        <w:rPr>
          <w:rFonts w:hint="eastAsia"/>
          <w:sz w:val="24"/>
          <w:szCs w:val="24"/>
          <w:lang w:eastAsia="en-US"/>
        </w:rPr>
        <w:t xml:space="preserve"> the list of </w:t>
      </w:r>
      <w:r w:rsidR="005346A3" w:rsidRPr="005346A3">
        <w:rPr>
          <w:sz w:val="24"/>
          <w:szCs w:val="24"/>
          <w:u w:val="single"/>
          <w:lang w:eastAsia="en-US"/>
        </w:rPr>
        <w:t>(1) scanned volumes and issues, and (2) page numbers</w:t>
      </w:r>
      <w:r w:rsidR="005346A3">
        <w:rPr>
          <w:sz w:val="24"/>
          <w:szCs w:val="24"/>
          <w:lang w:eastAsia="en-US"/>
        </w:rPr>
        <w:t xml:space="preserve"> of </w:t>
      </w:r>
      <w:r w:rsidRPr="000B276F">
        <w:rPr>
          <w:rFonts w:hint="eastAsia"/>
          <w:sz w:val="24"/>
          <w:szCs w:val="24"/>
          <w:lang w:eastAsia="en-US"/>
        </w:rPr>
        <w:t>publications containing data belong to the category A</w:t>
      </w:r>
      <w:r w:rsidRPr="005346A3">
        <w:rPr>
          <w:rFonts w:hint="eastAsia"/>
          <w:strike/>
          <w:sz w:val="24"/>
          <w:szCs w:val="24"/>
          <w:lang w:eastAsia="en-US"/>
        </w:rPr>
        <w:t xml:space="preserve"> regularly</w:t>
      </w:r>
      <w:r w:rsidRPr="000B276F">
        <w:rPr>
          <w:rFonts w:hint="eastAsia"/>
          <w:sz w:val="24"/>
          <w:szCs w:val="24"/>
          <w:lang w:eastAsia="en-US"/>
        </w:rPr>
        <w:t xml:space="preserve">. </w:t>
      </w:r>
      <w:r w:rsidRPr="000B276F">
        <w:rPr>
          <w:sz w:val="24"/>
          <w:szCs w:val="24"/>
          <w:lang w:eastAsia="en-US"/>
        </w:rPr>
        <w:t>The currently assigned</w:t>
      </w:r>
      <w:r w:rsidRPr="000B276F">
        <w:rPr>
          <w:rFonts w:hint="eastAsia"/>
          <w:sz w:val="24"/>
          <w:szCs w:val="24"/>
          <w:lang w:eastAsia="en-US"/>
        </w:rPr>
        <w:t xml:space="preserve"> </w:t>
      </w:r>
      <w:r w:rsidRPr="000B276F">
        <w:rPr>
          <w:sz w:val="24"/>
          <w:szCs w:val="24"/>
          <w:lang w:eastAsia="en-US"/>
        </w:rPr>
        <w:t>scanning responsibilities are given in Appendix B of this Protocol.</w:t>
      </w:r>
    </w:p>
    <w:p w:rsidR="005346A3" w:rsidRDefault="005346A3" w:rsidP="000B27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346A3" w:rsidRDefault="005346A3" w:rsidP="000B27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For Russian journals, NDS </w:t>
      </w:r>
      <w:r w:rsidR="001A4677">
        <w:rPr>
          <w:sz w:val="24"/>
          <w:szCs w:val="24"/>
          <w:lang w:eastAsia="en-US"/>
        </w:rPr>
        <w:t xml:space="preserve">needs to </w:t>
      </w:r>
      <w:r>
        <w:rPr>
          <w:sz w:val="24"/>
          <w:szCs w:val="24"/>
          <w:lang w:eastAsia="en-US"/>
        </w:rPr>
        <w:t xml:space="preserve">register </w:t>
      </w:r>
      <w:r w:rsidR="001A4677">
        <w:rPr>
          <w:sz w:val="24"/>
          <w:szCs w:val="24"/>
          <w:lang w:eastAsia="en-US"/>
        </w:rPr>
        <w:t xml:space="preserve">bibliography of </w:t>
      </w:r>
      <w:r>
        <w:rPr>
          <w:sz w:val="24"/>
          <w:szCs w:val="24"/>
          <w:lang w:eastAsia="en-US"/>
        </w:rPr>
        <w:t>their English version</w:t>
      </w:r>
      <w:r w:rsidR="001A4677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. Also some journals are extinct or irrelevant to EXFOR.</w:t>
      </w:r>
      <w:r w:rsidR="001A4677">
        <w:rPr>
          <w:sz w:val="24"/>
          <w:szCs w:val="24"/>
          <w:lang w:eastAsia="en-US"/>
        </w:rPr>
        <w:t xml:space="preserve"> Some changes in Appendix B are proposed below.</w:t>
      </w:r>
    </w:p>
    <w:p w:rsidR="000B276F" w:rsidRPr="005346A3" w:rsidRDefault="000B276F" w:rsidP="00D33C23">
      <w:pPr>
        <w:tabs>
          <w:tab w:val="left" w:pos="993"/>
        </w:tabs>
        <w:spacing w:after="60"/>
        <w:jc w:val="both"/>
        <w:rPr>
          <w:b/>
          <w:sz w:val="24"/>
          <w:szCs w:val="24"/>
          <w:lang w:eastAsia="ja-JP"/>
        </w:rPr>
      </w:pPr>
    </w:p>
    <w:tbl>
      <w:tblPr>
        <w:tblW w:w="0" w:type="auto"/>
        <w:jc w:val="center"/>
        <w:tblInd w:w="-897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686"/>
        <w:gridCol w:w="4035"/>
      </w:tblGrid>
      <w:tr w:rsidR="001A4677" w:rsidRPr="000B276F" w:rsidTr="006E6CC8">
        <w:trPr>
          <w:trHeight w:val="377"/>
          <w:jc w:val="center"/>
        </w:trPr>
        <w:tc>
          <w:tcPr>
            <w:tcW w:w="1247" w:type="dxa"/>
            <w:vAlign w:val="center"/>
          </w:tcPr>
          <w:p w:rsidR="001A4677" w:rsidRPr="000B276F" w:rsidRDefault="001A4677" w:rsidP="006E6CC8">
            <w:pPr>
              <w:rPr>
                <w:b/>
                <w:sz w:val="24"/>
                <w:szCs w:val="24"/>
                <w:lang w:val="en-GB" w:eastAsia="en-US"/>
              </w:rPr>
            </w:pPr>
            <w:r w:rsidRPr="000B276F">
              <w:rPr>
                <w:b/>
                <w:sz w:val="24"/>
                <w:szCs w:val="24"/>
                <w:lang w:val="en-GB" w:eastAsia="en-US"/>
              </w:rPr>
              <w:t>Centre</w:t>
            </w:r>
          </w:p>
        </w:tc>
        <w:tc>
          <w:tcPr>
            <w:tcW w:w="3686" w:type="dxa"/>
            <w:vAlign w:val="center"/>
          </w:tcPr>
          <w:p w:rsidR="001A4677" w:rsidRPr="000B276F" w:rsidRDefault="001A4677" w:rsidP="006E6CC8">
            <w:pPr>
              <w:rPr>
                <w:b/>
                <w:sz w:val="24"/>
                <w:szCs w:val="24"/>
                <w:lang w:val="en-GB" w:eastAsia="en-US"/>
              </w:rPr>
            </w:pPr>
            <w:r w:rsidRPr="000B276F">
              <w:rPr>
                <w:b/>
                <w:sz w:val="24"/>
                <w:szCs w:val="24"/>
                <w:lang w:val="en-GB" w:eastAsia="en-US"/>
              </w:rPr>
              <w:t>Responsibility</w:t>
            </w:r>
          </w:p>
        </w:tc>
        <w:tc>
          <w:tcPr>
            <w:tcW w:w="4035" w:type="dxa"/>
            <w:vAlign w:val="center"/>
          </w:tcPr>
          <w:p w:rsidR="001A4677" w:rsidRPr="000B276F" w:rsidRDefault="001A4677" w:rsidP="006E6CC8">
            <w:pPr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en-GB" w:eastAsia="en-US"/>
              </w:rPr>
              <w:t>Proposed change</w:t>
            </w:r>
          </w:p>
        </w:tc>
      </w:tr>
      <w:tr w:rsidR="001A4677" w:rsidRPr="000B276F" w:rsidTr="001A4677">
        <w:trPr>
          <w:cantSplit/>
          <w:trHeight w:val="288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NNDC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fr-FR" w:eastAsia="en-US"/>
              </w:rPr>
            </w:pPr>
            <w:r w:rsidRPr="000B276F">
              <w:rPr>
                <w:sz w:val="24"/>
                <w:szCs w:val="24"/>
                <w:lang w:val="fr-FR" w:eastAsia="en-US"/>
              </w:rPr>
              <w:t>AJ, AJ/L, NSE, PR/C, PRL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1A4677" w:rsidRPr="000B276F" w:rsidTr="001A4677">
        <w:trPr>
          <w:cantSplit/>
          <w:trHeight w:val="305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NEA DB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ANE, RCA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1A4677" w:rsidRPr="000B276F" w:rsidTr="001A4677">
        <w:trPr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NDS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pt-BR" w:eastAsia="en-US"/>
              </w:rPr>
            </w:pPr>
            <w:r w:rsidRPr="000B276F">
              <w:rPr>
                <w:sz w:val="24"/>
                <w:szCs w:val="24"/>
                <w:lang w:val="pt-BR" w:eastAsia="en-US"/>
              </w:rPr>
              <w:t>ARI, NP/A, NIM/A, NIM/B, PL/B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pt-BR" w:eastAsia="en-US"/>
              </w:rPr>
            </w:pPr>
          </w:p>
        </w:tc>
      </w:tr>
      <w:tr w:rsidR="001A4677" w:rsidRPr="000B276F" w:rsidTr="001A4677">
        <w:trPr>
          <w:cantSplit/>
          <w:trHeight w:val="243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CJD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AE, FCY, FCY/L, PTE, YK, ZEP, ZET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Replace all journals (except for YK) with their English translation.</w:t>
            </w:r>
          </w:p>
        </w:tc>
      </w:tr>
      <w:tr w:rsidR="001A4677" w:rsidRPr="000B276F" w:rsidTr="001A4677">
        <w:trPr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CDFE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1A4677" w:rsidRPr="000B276F" w:rsidTr="001A4677">
        <w:trPr>
          <w:cantSplit/>
          <w:trHeight w:val="332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CNDC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ASI, CNDP, CNST, CPH/B, CPH/C, CPL, CST, HFH, NTC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Remove CNDP (extinct) and CPH/B (irrelevant). NTC could be deleted if all NTC articles are also published in CNST.</w:t>
            </w:r>
          </w:p>
        </w:tc>
      </w:tr>
      <w:tr w:rsidR="001A4677" w:rsidRPr="000B276F" w:rsidTr="001A4677">
        <w:trPr>
          <w:cantSplit/>
          <w:trHeight w:val="332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JCPRG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 xml:space="preserve">JNRS, JPJ, NST, PTP, JAEA-C (CPND, </w:t>
            </w:r>
            <w:proofErr w:type="spellStart"/>
            <w:r w:rsidRPr="000B276F">
              <w:rPr>
                <w:sz w:val="24"/>
                <w:szCs w:val="24"/>
                <w:lang w:val="en-GB" w:eastAsia="en-US"/>
              </w:rPr>
              <w:t>PhND</w:t>
            </w:r>
            <w:proofErr w:type="spellEnd"/>
            <w:r w:rsidRPr="000B276F">
              <w:rPr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Replace PTP with PTEP.</w:t>
            </w:r>
          </w:p>
        </w:tc>
      </w:tr>
      <w:tr w:rsidR="001A4677" w:rsidRPr="000B276F" w:rsidTr="001A4677">
        <w:trPr>
          <w:cantSplit/>
          <w:trHeight w:val="332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JAEA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JNRS, JPJ, NST, PTP, JAEA-C (Neutron data)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Replace PTP with PTEP.</w:t>
            </w:r>
          </w:p>
        </w:tc>
      </w:tr>
      <w:tr w:rsidR="001A4677" w:rsidRPr="000B276F" w:rsidTr="001A4677">
        <w:trPr>
          <w:cantSplit/>
          <w:trHeight w:val="297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ATOMKI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AHP/N, JRN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Remove AHP/N (extinct).</w:t>
            </w:r>
          </w:p>
        </w:tc>
      </w:tr>
      <w:tr w:rsidR="001A4677" w:rsidRPr="000B276F" w:rsidTr="001A4677">
        <w:trPr>
          <w:cantSplit/>
          <w:trHeight w:val="287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0B276F">
              <w:rPr>
                <w:sz w:val="24"/>
                <w:szCs w:val="24"/>
                <w:lang w:val="en-GB" w:eastAsia="en-US"/>
              </w:rPr>
              <w:lastRenderedPageBreak/>
              <w:t>UkrNDC</w:t>
            </w:r>
            <w:proofErr w:type="spellEnd"/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UFZ, VAT/I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Replace UFZ with UPJ. Add YFE?</w:t>
            </w:r>
          </w:p>
        </w:tc>
      </w:tr>
      <w:tr w:rsidR="001A4677" w:rsidRPr="000B276F" w:rsidTr="001A4677">
        <w:trPr>
          <w:cantSplit/>
          <w:trHeight w:val="249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CNPD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EPJ/A, IZV, YF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Replace IZV with BAS, YF with PAN.</w:t>
            </w:r>
          </w:p>
        </w:tc>
      </w:tr>
      <w:tr w:rsidR="001A4677" w:rsidRPr="000B276F" w:rsidTr="001A4677">
        <w:trPr>
          <w:cantSplit/>
          <w:trHeight w:val="249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KNDC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1A4677" w:rsidRPr="000B276F" w:rsidTr="001A4677">
        <w:trPr>
          <w:cantSplit/>
          <w:trHeight w:val="266"/>
          <w:jc w:val="center"/>
        </w:trPr>
        <w:tc>
          <w:tcPr>
            <w:tcW w:w="1247" w:type="dxa"/>
          </w:tcPr>
          <w:p w:rsidR="001A4677" w:rsidRPr="000B276F" w:rsidRDefault="001A4677" w:rsidP="000B276F">
            <w:pPr>
              <w:jc w:val="center"/>
              <w:rPr>
                <w:bCs/>
                <w:iCs/>
                <w:sz w:val="24"/>
                <w:szCs w:val="24"/>
                <w:lang w:val="en-GB" w:eastAsia="en-US"/>
              </w:rPr>
            </w:pPr>
            <w:r w:rsidRPr="000B276F">
              <w:rPr>
                <w:sz w:val="24"/>
                <w:szCs w:val="24"/>
                <w:lang w:val="en-GB" w:eastAsia="en-US"/>
              </w:rPr>
              <w:t>NDPCI</w:t>
            </w:r>
          </w:p>
        </w:tc>
        <w:tc>
          <w:tcPr>
            <w:tcW w:w="3686" w:type="dxa"/>
          </w:tcPr>
          <w:p w:rsidR="001A4677" w:rsidRPr="000B276F" w:rsidRDefault="001A4677" w:rsidP="000B276F">
            <w:pPr>
              <w:rPr>
                <w:bCs/>
                <w:iCs/>
                <w:sz w:val="24"/>
                <w:szCs w:val="24"/>
                <w:lang w:val="en-GB" w:eastAsia="en-US"/>
              </w:rPr>
            </w:pPr>
            <w:r w:rsidRPr="000B276F">
              <w:rPr>
                <w:bCs/>
                <w:iCs/>
                <w:sz w:val="24"/>
                <w:szCs w:val="24"/>
                <w:lang w:val="en-GB" w:eastAsia="en-US"/>
              </w:rPr>
              <w:t>IPA</w:t>
            </w:r>
          </w:p>
        </w:tc>
        <w:tc>
          <w:tcPr>
            <w:tcW w:w="4035" w:type="dxa"/>
          </w:tcPr>
          <w:p w:rsidR="001A4677" w:rsidRPr="000B276F" w:rsidRDefault="001A4677" w:rsidP="000B276F">
            <w:pPr>
              <w:rPr>
                <w:bCs/>
                <w:iCs/>
                <w:sz w:val="24"/>
                <w:szCs w:val="24"/>
                <w:lang w:val="en-GB" w:eastAsia="en-US"/>
              </w:rPr>
            </w:pPr>
          </w:p>
        </w:tc>
      </w:tr>
    </w:tbl>
    <w:p w:rsidR="000B276F" w:rsidRDefault="000B276F" w:rsidP="00D33C23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:rsidR="000B276F" w:rsidRDefault="000B276F" w:rsidP="00D33C23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:rsidR="00D33C23" w:rsidRDefault="00AD78B6" w:rsidP="00D33C23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AD78B6">
        <w:rPr>
          <w:b/>
          <w:sz w:val="24"/>
          <w:szCs w:val="24"/>
          <w:lang w:val="en-GB" w:eastAsia="ja-JP"/>
        </w:rPr>
        <w:t>Distribution:</w:t>
      </w:r>
    </w:p>
    <w:p w:rsidR="00D33C23" w:rsidRDefault="00D33C23" w:rsidP="00D33C23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  <w:sectPr w:rsidR="00D33C23" w:rsidSect="00D33C23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D33C23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F507F0" w:rsidRDefault="00F507F0" w:rsidP="00815982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F507F0" w:rsidRDefault="00F507F0" w:rsidP="00815982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kenya.suyama@oecd.org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68438D" w:rsidRDefault="00BA5A40" w:rsidP="00D33C23">
      <w:pPr>
        <w:rPr>
          <w:sz w:val="24"/>
          <w:lang w:val="en-GB" w:eastAsia="ja-JP"/>
        </w:rPr>
      </w:pPr>
      <w:r w:rsidRPr="00BA5A40">
        <w:rPr>
          <w:sz w:val="24"/>
          <w:lang w:val="en-GB" w:eastAsia="ja-JP"/>
        </w:rPr>
        <w:t>zhuangyx@ciae.ac.cn</w:t>
      </w:r>
    </w:p>
    <w:p w:rsidR="00BA5A40" w:rsidRDefault="00BA5A40" w:rsidP="00D33C23">
      <w:pPr>
        <w:rPr>
          <w:sz w:val="24"/>
          <w:szCs w:val="24"/>
          <w:lang w:val="en-GB"/>
        </w:rPr>
        <w:sectPr w:rsidR="00BA5A40" w:rsidSect="00BA5A40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BA5A40" w:rsidRPr="000F376F" w:rsidRDefault="00BA5A40" w:rsidP="00D33C23">
      <w:pPr>
        <w:rPr>
          <w:sz w:val="24"/>
          <w:szCs w:val="24"/>
          <w:lang w:val="en-GB"/>
        </w:rPr>
      </w:pPr>
    </w:p>
    <w:sectPr w:rsidR="00BA5A40" w:rsidRPr="000F376F" w:rsidSect="0068438D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4D" w:rsidRDefault="005A1B4D">
      <w:r>
        <w:separator/>
      </w:r>
    </w:p>
  </w:endnote>
  <w:endnote w:type="continuationSeparator" w:id="0">
    <w:p w:rsidR="005A1B4D" w:rsidRDefault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4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4D" w:rsidRDefault="005A1B4D">
      <w:r>
        <w:separator/>
      </w:r>
    </w:p>
  </w:footnote>
  <w:footnote w:type="continuationSeparator" w:id="0">
    <w:p w:rsidR="005A1B4D" w:rsidRDefault="005A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261C71"/>
    <w:multiLevelType w:val="hybridMultilevel"/>
    <w:tmpl w:val="AF94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8F0"/>
    <w:multiLevelType w:val="hybridMultilevel"/>
    <w:tmpl w:val="B644FF4C"/>
    <w:lvl w:ilvl="0" w:tplc="2DF20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>
    <w:nsid w:val="112D1334"/>
    <w:multiLevelType w:val="hybridMultilevel"/>
    <w:tmpl w:val="E64A2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BAF76C7"/>
    <w:multiLevelType w:val="hybridMultilevel"/>
    <w:tmpl w:val="AC32A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5F17CEE"/>
    <w:multiLevelType w:val="hybridMultilevel"/>
    <w:tmpl w:val="152A4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F134D"/>
    <w:multiLevelType w:val="multilevel"/>
    <w:tmpl w:val="8C505C6A"/>
    <w:lvl w:ilvl="0">
      <w:numFmt w:val="decimal"/>
      <w:suff w:val="space"/>
      <w:lvlText w:val="Chapter %1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</w:abstractNum>
  <w:abstractNum w:abstractNumId="16">
    <w:nsid w:val="6DA46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4"/>
  </w:num>
  <w:num w:numId="7">
    <w:abstractNumId w:val="18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0692C"/>
    <w:rsid w:val="0001071A"/>
    <w:rsid w:val="000111F9"/>
    <w:rsid w:val="000127E7"/>
    <w:rsid w:val="00013208"/>
    <w:rsid w:val="00013979"/>
    <w:rsid w:val="00014DE6"/>
    <w:rsid w:val="00015571"/>
    <w:rsid w:val="00016E68"/>
    <w:rsid w:val="00024095"/>
    <w:rsid w:val="0002470B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2061"/>
    <w:rsid w:val="00055AFE"/>
    <w:rsid w:val="00055F9F"/>
    <w:rsid w:val="00060471"/>
    <w:rsid w:val="00060DEB"/>
    <w:rsid w:val="00062172"/>
    <w:rsid w:val="000652B8"/>
    <w:rsid w:val="00066178"/>
    <w:rsid w:val="0007052B"/>
    <w:rsid w:val="0007422F"/>
    <w:rsid w:val="00077313"/>
    <w:rsid w:val="00080E36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B276F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376F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5810"/>
    <w:rsid w:val="001361AA"/>
    <w:rsid w:val="00137ADA"/>
    <w:rsid w:val="00145E03"/>
    <w:rsid w:val="001503B5"/>
    <w:rsid w:val="00154D11"/>
    <w:rsid w:val="001571C3"/>
    <w:rsid w:val="001579F3"/>
    <w:rsid w:val="00157CF0"/>
    <w:rsid w:val="00161433"/>
    <w:rsid w:val="001642C5"/>
    <w:rsid w:val="001665E2"/>
    <w:rsid w:val="0017013E"/>
    <w:rsid w:val="00181B2C"/>
    <w:rsid w:val="00182A50"/>
    <w:rsid w:val="00191555"/>
    <w:rsid w:val="00193CC2"/>
    <w:rsid w:val="001943D6"/>
    <w:rsid w:val="001A0F8E"/>
    <w:rsid w:val="001A3EA9"/>
    <w:rsid w:val="001A4677"/>
    <w:rsid w:val="001A4C53"/>
    <w:rsid w:val="001A5E0A"/>
    <w:rsid w:val="001B2919"/>
    <w:rsid w:val="001B771B"/>
    <w:rsid w:val="001C048A"/>
    <w:rsid w:val="001C0815"/>
    <w:rsid w:val="001C3AA2"/>
    <w:rsid w:val="001C4BF5"/>
    <w:rsid w:val="001C503E"/>
    <w:rsid w:val="001C5F7F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05279"/>
    <w:rsid w:val="00207250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45FB5"/>
    <w:rsid w:val="0025421E"/>
    <w:rsid w:val="00255379"/>
    <w:rsid w:val="002604B2"/>
    <w:rsid w:val="002628BF"/>
    <w:rsid w:val="002634A0"/>
    <w:rsid w:val="00264A0C"/>
    <w:rsid w:val="002679A3"/>
    <w:rsid w:val="00273D4D"/>
    <w:rsid w:val="00274837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0D5A"/>
    <w:rsid w:val="002A6856"/>
    <w:rsid w:val="002B5F51"/>
    <w:rsid w:val="002B6607"/>
    <w:rsid w:val="002C0996"/>
    <w:rsid w:val="002C260A"/>
    <w:rsid w:val="002C598A"/>
    <w:rsid w:val="002D2D03"/>
    <w:rsid w:val="002D4016"/>
    <w:rsid w:val="002D4296"/>
    <w:rsid w:val="002F7137"/>
    <w:rsid w:val="003030B4"/>
    <w:rsid w:val="00306B68"/>
    <w:rsid w:val="00316527"/>
    <w:rsid w:val="00320637"/>
    <w:rsid w:val="003277D9"/>
    <w:rsid w:val="00345359"/>
    <w:rsid w:val="00351EDF"/>
    <w:rsid w:val="00354BFC"/>
    <w:rsid w:val="00354DC9"/>
    <w:rsid w:val="00354F52"/>
    <w:rsid w:val="0035576F"/>
    <w:rsid w:val="003567B1"/>
    <w:rsid w:val="00371729"/>
    <w:rsid w:val="00372CE9"/>
    <w:rsid w:val="00375896"/>
    <w:rsid w:val="00381FB7"/>
    <w:rsid w:val="00382A61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0BBE"/>
    <w:rsid w:val="003E1390"/>
    <w:rsid w:val="003E32C8"/>
    <w:rsid w:val="003E60BD"/>
    <w:rsid w:val="003E6B7E"/>
    <w:rsid w:val="003F2C43"/>
    <w:rsid w:val="003F50ED"/>
    <w:rsid w:val="003F59F1"/>
    <w:rsid w:val="003F648E"/>
    <w:rsid w:val="003F6703"/>
    <w:rsid w:val="0040283C"/>
    <w:rsid w:val="004046C6"/>
    <w:rsid w:val="00407532"/>
    <w:rsid w:val="0041058F"/>
    <w:rsid w:val="00410FD9"/>
    <w:rsid w:val="00413CEC"/>
    <w:rsid w:val="00414104"/>
    <w:rsid w:val="00415C16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47CD9"/>
    <w:rsid w:val="00462498"/>
    <w:rsid w:val="004650B3"/>
    <w:rsid w:val="00465599"/>
    <w:rsid w:val="004666BF"/>
    <w:rsid w:val="004717E4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48B5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D6C26"/>
    <w:rsid w:val="004E337D"/>
    <w:rsid w:val="004E6668"/>
    <w:rsid w:val="004E6D5A"/>
    <w:rsid w:val="004E78B3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181F"/>
    <w:rsid w:val="0051513A"/>
    <w:rsid w:val="0053349C"/>
    <w:rsid w:val="005346A3"/>
    <w:rsid w:val="005359D9"/>
    <w:rsid w:val="005370FF"/>
    <w:rsid w:val="005429F5"/>
    <w:rsid w:val="00542DE8"/>
    <w:rsid w:val="00542EEB"/>
    <w:rsid w:val="00543C40"/>
    <w:rsid w:val="00544551"/>
    <w:rsid w:val="00550063"/>
    <w:rsid w:val="00550A78"/>
    <w:rsid w:val="00552B09"/>
    <w:rsid w:val="00556170"/>
    <w:rsid w:val="00556AAA"/>
    <w:rsid w:val="005607A9"/>
    <w:rsid w:val="005610FA"/>
    <w:rsid w:val="00561124"/>
    <w:rsid w:val="00562B27"/>
    <w:rsid w:val="0057110F"/>
    <w:rsid w:val="005729BC"/>
    <w:rsid w:val="00573E65"/>
    <w:rsid w:val="00592E17"/>
    <w:rsid w:val="0059441A"/>
    <w:rsid w:val="00594859"/>
    <w:rsid w:val="00596340"/>
    <w:rsid w:val="005A1B4D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6B6D"/>
    <w:rsid w:val="005E7DE4"/>
    <w:rsid w:val="005F0748"/>
    <w:rsid w:val="005F1A1A"/>
    <w:rsid w:val="005F2AE2"/>
    <w:rsid w:val="005F3D78"/>
    <w:rsid w:val="005F3DD3"/>
    <w:rsid w:val="005F6EF4"/>
    <w:rsid w:val="00611C61"/>
    <w:rsid w:val="00613E67"/>
    <w:rsid w:val="006176FD"/>
    <w:rsid w:val="00626CD4"/>
    <w:rsid w:val="00627437"/>
    <w:rsid w:val="006409AC"/>
    <w:rsid w:val="00642848"/>
    <w:rsid w:val="00643517"/>
    <w:rsid w:val="006437BE"/>
    <w:rsid w:val="006500B5"/>
    <w:rsid w:val="0066033E"/>
    <w:rsid w:val="006647BF"/>
    <w:rsid w:val="006711C6"/>
    <w:rsid w:val="00680DCD"/>
    <w:rsid w:val="006813F1"/>
    <w:rsid w:val="00682D41"/>
    <w:rsid w:val="00684152"/>
    <w:rsid w:val="0068438D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0B49"/>
    <w:rsid w:val="006C670E"/>
    <w:rsid w:val="006C7C04"/>
    <w:rsid w:val="006C7E95"/>
    <w:rsid w:val="006D13C0"/>
    <w:rsid w:val="006D3361"/>
    <w:rsid w:val="006D6E0D"/>
    <w:rsid w:val="006E2582"/>
    <w:rsid w:val="006E4716"/>
    <w:rsid w:val="006E6CC8"/>
    <w:rsid w:val="006F3549"/>
    <w:rsid w:val="006F38B8"/>
    <w:rsid w:val="006F4308"/>
    <w:rsid w:val="006F5D0D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65D7B"/>
    <w:rsid w:val="007803BE"/>
    <w:rsid w:val="00780E4B"/>
    <w:rsid w:val="00786396"/>
    <w:rsid w:val="00787779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B5E4E"/>
    <w:rsid w:val="007C00FE"/>
    <w:rsid w:val="007C0C11"/>
    <w:rsid w:val="007C1303"/>
    <w:rsid w:val="007C2190"/>
    <w:rsid w:val="007C2E3B"/>
    <w:rsid w:val="007C2E8D"/>
    <w:rsid w:val="007C6BF6"/>
    <w:rsid w:val="007C6D7F"/>
    <w:rsid w:val="007C79FB"/>
    <w:rsid w:val="007D267D"/>
    <w:rsid w:val="007D41E2"/>
    <w:rsid w:val="007D50A2"/>
    <w:rsid w:val="007D7A1B"/>
    <w:rsid w:val="007E235F"/>
    <w:rsid w:val="007E4301"/>
    <w:rsid w:val="007E4DFC"/>
    <w:rsid w:val="007F22F3"/>
    <w:rsid w:val="007F7F4B"/>
    <w:rsid w:val="00801FD2"/>
    <w:rsid w:val="0080353B"/>
    <w:rsid w:val="00805343"/>
    <w:rsid w:val="00812F47"/>
    <w:rsid w:val="00813AB2"/>
    <w:rsid w:val="00815982"/>
    <w:rsid w:val="00816BEF"/>
    <w:rsid w:val="008208DB"/>
    <w:rsid w:val="00820FD4"/>
    <w:rsid w:val="00824AA2"/>
    <w:rsid w:val="00824BB5"/>
    <w:rsid w:val="008336A6"/>
    <w:rsid w:val="00836089"/>
    <w:rsid w:val="00836E90"/>
    <w:rsid w:val="00837A8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0B81"/>
    <w:rsid w:val="0087205F"/>
    <w:rsid w:val="0087260C"/>
    <w:rsid w:val="00881145"/>
    <w:rsid w:val="00881184"/>
    <w:rsid w:val="0088178C"/>
    <w:rsid w:val="00881FFD"/>
    <w:rsid w:val="008842A5"/>
    <w:rsid w:val="0088701A"/>
    <w:rsid w:val="00887FA5"/>
    <w:rsid w:val="00893F34"/>
    <w:rsid w:val="00894386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31AB"/>
    <w:rsid w:val="008D55D9"/>
    <w:rsid w:val="008E1D90"/>
    <w:rsid w:val="008E5F78"/>
    <w:rsid w:val="008E6FB0"/>
    <w:rsid w:val="008F3466"/>
    <w:rsid w:val="00902C2D"/>
    <w:rsid w:val="00902FB7"/>
    <w:rsid w:val="00904228"/>
    <w:rsid w:val="009117BF"/>
    <w:rsid w:val="0091418F"/>
    <w:rsid w:val="00914AD8"/>
    <w:rsid w:val="0092180E"/>
    <w:rsid w:val="009228EC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5F23"/>
    <w:rsid w:val="00966730"/>
    <w:rsid w:val="00966B64"/>
    <w:rsid w:val="00977377"/>
    <w:rsid w:val="00977FE7"/>
    <w:rsid w:val="009913B2"/>
    <w:rsid w:val="009A0715"/>
    <w:rsid w:val="009A0EB6"/>
    <w:rsid w:val="009A10A2"/>
    <w:rsid w:val="009A35E7"/>
    <w:rsid w:val="009A3B6A"/>
    <w:rsid w:val="009A494F"/>
    <w:rsid w:val="009A5327"/>
    <w:rsid w:val="009B08F6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608"/>
    <w:rsid w:val="00A00A9E"/>
    <w:rsid w:val="00A00E6B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75CE0"/>
    <w:rsid w:val="00A80424"/>
    <w:rsid w:val="00A80B95"/>
    <w:rsid w:val="00A81FC7"/>
    <w:rsid w:val="00A82D11"/>
    <w:rsid w:val="00A85C37"/>
    <w:rsid w:val="00A85FE7"/>
    <w:rsid w:val="00A92621"/>
    <w:rsid w:val="00A95BD9"/>
    <w:rsid w:val="00AA10D2"/>
    <w:rsid w:val="00AA245E"/>
    <w:rsid w:val="00AA2D1A"/>
    <w:rsid w:val="00AA7B21"/>
    <w:rsid w:val="00AA7CE0"/>
    <w:rsid w:val="00AA7DC3"/>
    <w:rsid w:val="00AB10E6"/>
    <w:rsid w:val="00AB314B"/>
    <w:rsid w:val="00AB408C"/>
    <w:rsid w:val="00AB4CB6"/>
    <w:rsid w:val="00AB6E82"/>
    <w:rsid w:val="00AC7C46"/>
    <w:rsid w:val="00AD0E30"/>
    <w:rsid w:val="00AD1624"/>
    <w:rsid w:val="00AD3A5E"/>
    <w:rsid w:val="00AD78B6"/>
    <w:rsid w:val="00AE11AC"/>
    <w:rsid w:val="00AE2D78"/>
    <w:rsid w:val="00AE5AAC"/>
    <w:rsid w:val="00AE7385"/>
    <w:rsid w:val="00AF4419"/>
    <w:rsid w:val="00B03699"/>
    <w:rsid w:val="00B03F85"/>
    <w:rsid w:val="00B04FA2"/>
    <w:rsid w:val="00B111B6"/>
    <w:rsid w:val="00B12C8F"/>
    <w:rsid w:val="00B13F68"/>
    <w:rsid w:val="00B14A6E"/>
    <w:rsid w:val="00B16D2B"/>
    <w:rsid w:val="00B20300"/>
    <w:rsid w:val="00B22294"/>
    <w:rsid w:val="00B2438B"/>
    <w:rsid w:val="00B25A82"/>
    <w:rsid w:val="00B25C35"/>
    <w:rsid w:val="00B26882"/>
    <w:rsid w:val="00B26947"/>
    <w:rsid w:val="00B26DBD"/>
    <w:rsid w:val="00B35176"/>
    <w:rsid w:val="00B359C7"/>
    <w:rsid w:val="00B41EFB"/>
    <w:rsid w:val="00B4359E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7738D"/>
    <w:rsid w:val="00B90B38"/>
    <w:rsid w:val="00B92323"/>
    <w:rsid w:val="00B93C0D"/>
    <w:rsid w:val="00BA26B8"/>
    <w:rsid w:val="00BA28ED"/>
    <w:rsid w:val="00BA5763"/>
    <w:rsid w:val="00BA5A40"/>
    <w:rsid w:val="00BA5F09"/>
    <w:rsid w:val="00BA66CC"/>
    <w:rsid w:val="00BB78FF"/>
    <w:rsid w:val="00BC2002"/>
    <w:rsid w:val="00BC21B6"/>
    <w:rsid w:val="00BC494A"/>
    <w:rsid w:val="00BC4B28"/>
    <w:rsid w:val="00BD20AF"/>
    <w:rsid w:val="00BD7948"/>
    <w:rsid w:val="00BE05EC"/>
    <w:rsid w:val="00BE28EB"/>
    <w:rsid w:val="00BE6DF9"/>
    <w:rsid w:val="00BF04ED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263D9"/>
    <w:rsid w:val="00C327F9"/>
    <w:rsid w:val="00C43C38"/>
    <w:rsid w:val="00C448FF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A783C"/>
    <w:rsid w:val="00CB302A"/>
    <w:rsid w:val="00CB55C7"/>
    <w:rsid w:val="00CB60A7"/>
    <w:rsid w:val="00CB6A27"/>
    <w:rsid w:val="00CC683C"/>
    <w:rsid w:val="00CC7D35"/>
    <w:rsid w:val="00CD2574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2126"/>
    <w:rsid w:val="00D237A7"/>
    <w:rsid w:val="00D30AE3"/>
    <w:rsid w:val="00D33091"/>
    <w:rsid w:val="00D33C23"/>
    <w:rsid w:val="00D34EEF"/>
    <w:rsid w:val="00D44064"/>
    <w:rsid w:val="00D462CF"/>
    <w:rsid w:val="00D564AB"/>
    <w:rsid w:val="00D576BF"/>
    <w:rsid w:val="00D60E2A"/>
    <w:rsid w:val="00D669D3"/>
    <w:rsid w:val="00D70FC0"/>
    <w:rsid w:val="00D76ACF"/>
    <w:rsid w:val="00D770E3"/>
    <w:rsid w:val="00D776D1"/>
    <w:rsid w:val="00D779BD"/>
    <w:rsid w:val="00D77EFA"/>
    <w:rsid w:val="00D81EC5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2793"/>
    <w:rsid w:val="00DD4536"/>
    <w:rsid w:val="00DE417D"/>
    <w:rsid w:val="00DE48F3"/>
    <w:rsid w:val="00DF58D1"/>
    <w:rsid w:val="00E00C04"/>
    <w:rsid w:val="00E121DC"/>
    <w:rsid w:val="00E13B94"/>
    <w:rsid w:val="00E1610F"/>
    <w:rsid w:val="00E2197A"/>
    <w:rsid w:val="00E22D67"/>
    <w:rsid w:val="00E24A88"/>
    <w:rsid w:val="00E2628D"/>
    <w:rsid w:val="00E27973"/>
    <w:rsid w:val="00E31937"/>
    <w:rsid w:val="00E31F5C"/>
    <w:rsid w:val="00E35425"/>
    <w:rsid w:val="00E42FDE"/>
    <w:rsid w:val="00E43E87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06DB"/>
    <w:rsid w:val="00E81028"/>
    <w:rsid w:val="00E87296"/>
    <w:rsid w:val="00E90A6D"/>
    <w:rsid w:val="00E976F9"/>
    <w:rsid w:val="00EA00C0"/>
    <w:rsid w:val="00EA1A3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4456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486F"/>
    <w:rsid w:val="00F25E3A"/>
    <w:rsid w:val="00F27DD7"/>
    <w:rsid w:val="00F32AD9"/>
    <w:rsid w:val="00F345FC"/>
    <w:rsid w:val="00F3554D"/>
    <w:rsid w:val="00F3732C"/>
    <w:rsid w:val="00F4192A"/>
    <w:rsid w:val="00F43978"/>
    <w:rsid w:val="00F43AE1"/>
    <w:rsid w:val="00F44B0D"/>
    <w:rsid w:val="00F47EBB"/>
    <w:rsid w:val="00F50474"/>
    <w:rsid w:val="00F507F0"/>
    <w:rsid w:val="00F51217"/>
    <w:rsid w:val="00F521FF"/>
    <w:rsid w:val="00F5353C"/>
    <w:rsid w:val="00F56269"/>
    <w:rsid w:val="00F568B8"/>
    <w:rsid w:val="00F56DCC"/>
    <w:rsid w:val="00F57639"/>
    <w:rsid w:val="00F61575"/>
    <w:rsid w:val="00F64318"/>
    <w:rsid w:val="00F671C1"/>
    <w:rsid w:val="00F7260F"/>
    <w:rsid w:val="00F72EBA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7422F"/>
    <w:pPr>
      <w:jc w:val="both"/>
    </w:pPr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7422F"/>
    <w:rPr>
      <w:rFonts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0F376F"/>
  </w:style>
  <w:style w:type="character" w:customStyle="1" w:styleId="Absatz-Standardschriftart">
    <w:name w:val="Absatz-Standardschriftart"/>
    <w:rsid w:val="000F376F"/>
  </w:style>
  <w:style w:type="character" w:customStyle="1" w:styleId="WW-Absatz-Standardschriftart">
    <w:name w:val="WW-Absatz-Standardschriftart"/>
    <w:rsid w:val="000F376F"/>
  </w:style>
  <w:style w:type="character" w:customStyle="1" w:styleId="ListLabel1">
    <w:name w:val="ListLabel 1"/>
    <w:rsid w:val="000F376F"/>
    <w:rPr>
      <w:rFonts w:cs="font304"/>
    </w:rPr>
  </w:style>
  <w:style w:type="character" w:customStyle="1" w:styleId="ListLabel2">
    <w:name w:val="ListLabel 2"/>
    <w:rsid w:val="000F376F"/>
    <w:rPr>
      <w:rFonts w:cs="Courier New"/>
    </w:rPr>
  </w:style>
  <w:style w:type="paragraph" w:customStyle="1" w:styleId="berschrift">
    <w:name w:val="Überschrift"/>
    <w:basedOn w:val="Normal"/>
    <w:next w:val="BodyText"/>
    <w:rsid w:val="000F376F"/>
    <w:pPr>
      <w:keepNext/>
      <w:widowControl w:val="0"/>
      <w:suppressAutoHyphens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val="de-AT" w:eastAsia="hi-IN" w:bidi="hi-IN"/>
    </w:rPr>
  </w:style>
  <w:style w:type="paragraph" w:styleId="List">
    <w:name w:val="List"/>
    <w:basedOn w:val="BodyText"/>
    <w:rsid w:val="000F376F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Beschriftung">
    <w:name w:val="Beschriftung"/>
    <w:basedOn w:val="Normal"/>
    <w:rsid w:val="000F376F"/>
    <w:pPr>
      <w:widowControl w:val="0"/>
      <w:suppressLineNumbers/>
      <w:suppressAutoHyphens/>
      <w:spacing w:before="120" w:after="120"/>
      <w:jc w:val="both"/>
    </w:pPr>
    <w:rPr>
      <w:rFonts w:eastAsia="SimSun" w:cs="Mangal"/>
      <w:i/>
      <w:iCs/>
      <w:kern w:val="1"/>
      <w:sz w:val="24"/>
      <w:szCs w:val="24"/>
      <w:lang w:val="de-AT" w:eastAsia="hi-IN" w:bidi="hi-IN"/>
    </w:rPr>
  </w:style>
  <w:style w:type="paragraph" w:customStyle="1" w:styleId="Verzeichnis">
    <w:name w:val="Verzeichnis"/>
    <w:basedOn w:val="Normal"/>
    <w:rsid w:val="000F376F"/>
    <w:pPr>
      <w:widowControl w:val="0"/>
      <w:suppressLineNumbers/>
      <w:suppressAutoHyphens/>
      <w:jc w:val="both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TabellenInhalt">
    <w:name w:val="Tabellen Inhalt"/>
    <w:basedOn w:val="Normal"/>
    <w:rsid w:val="000F376F"/>
    <w:pPr>
      <w:widowControl w:val="0"/>
      <w:suppressLineNumbers/>
      <w:suppressAutoHyphens/>
      <w:jc w:val="both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Tabellenberschrift">
    <w:name w:val="Tabellen Überschrift"/>
    <w:basedOn w:val="TabellenInhalt"/>
    <w:rsid w:val="000F37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7422F"/>
    <w:pPr>
      <w:jc w:val="both"/>
    </w:pPr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7422F"/>
    <w:rPr>
      <w:rFonts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0F376F"/>
  </w:style>
  <w:style w:type="character" w:customStyle="1" w:styleId="Absatz-Standardschriftart">
    <w:name w:val="Absatz-Standardschriftart"/>
    <w:rsid w:val="000F376F"/>
  </w:style>
  <w:style w:type="character" w:customStyle="1" w:styleId="WW-Absatz-Standardschriftart">
    <w:name w:val="WW-Absatz-Standardschriftart"/>
    <w:rsid w:val="000F376F"/>
  </w:style>
  <w:style w:type="character" w:customStyle="1" w:styleId="ListLabel1">
    <w:name w:val="ListLabel 1"/>
    <w:rsid w:val="000F376F"/>
    <w:rPr>
      <w:rFonts w:cs="font304"/>
    </w:rPr>
  </w:style>
  <w:style w:type="character" w:customStyle="1" w:styleId="ListLabel2">
    <w:name w:val="ListLabel 2"/>
    <w:rsid w:val="000F376F"/>
    <w:rPr>
      <w:rFonts w:cs="Courier New"/>
    </w:rPr>
  </w:style>
  <w:style w:type="paragraph" w:customStyle="1" w:styleId="berschrift">
    <w:name w:val="Überschrift"/>
    <w:basedOn w:val="Normal"/>
    <w:next w:val="BodyText"/>
    <w:rsid w:val="000F376F"/>
    <w:pPr>
      <w:keepNext/>
      <w:widowControl w:val="0"/>
      <w:suppressAutoHyphens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val="de-AT" w:eastAsia="hi-IN" w:bidi="hi-IN"/>
    </w:rPr>
  </w:style>
  <w:style w:type="paragraph" w:styleId="List">
    <w:name w:val="List"/>
    <w:basedOn w:val="BodyText"/>
    <w:rsid w:val="000F376F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Beschriftung">
    <w:name w:val="Beschriftung"/>
    <w:basedOn w:val="Normal"/>
    <w:rsid w:val="000F376F"/>
    <w:pPr>
      <w:widowControl w:val="0"/>
      <w:suppressLineNumbers/>
      <w:suppressAutoHyphens/>
      <w:spacing w:before="120" w:after="120"/>
      <w:jc w:val="both"/>
    </w:pPr>
    <w:rPr>
      <w:rFonts w:eastAsia="SimSun" w:cs="Mangal"/>
      <w:i/>
      <w:iCs/>
      <w:kern w:val="1"/>
      <w:sz w:val="24"/>
      <w:szCs w:val="24"/>
      <w:lang w:val="de-AT" w:eastAsia="hi-IN" w:bidi="hi-IN"/>
    </w:rPr>
  </w:style>
  <w:style w:type="paragraph" w:customStyle="1" w:styleId="Verzeichnis">
    <w:name w:val="Verzeichnis"/>
    <w:basedOn w:val="Normal"/>
    <w:rsid w:val="000F376F"/>
    <w:pPr>
      <w:widowControl w:val="0"/>
      <w:suppressLineNumbers/>
      <w:suppressAutoHyphens/>
      <w:jc w:val="both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TabellenInhalt">
    <w:name w:val="Tabellen Inhalt"/>
    <w:basedOn w:val="Normal"/>
    <w:rsid w:val="000F376F"/>
    <w:pPr>
      <w:widowControl w:val="0"/>
      <w:suppressLineNumbers/>
      <w:suppressAutoHyphens/>
      <w:jc w:val="both"/>
    </w:pPr>
    <w:rPr>
      <w:rFonts w:eastAsia="SimSun" w:cs="Mangal"/>
      <w:kern w:val="1"/>
      <w:sz w:val="24"/>
      <w:szCs w:val="24"/>
      <w:lang w:val="de-AT" w:eastAsia="hi-IN" w:bidi="hi-IN"/>
    </w:rPr>
  </w:style>
  <w:style w:type="paragraph" w:customStyle="1" w:styleId="Tabellenberschrift">
    <w:name w:val="Tabellen Überschrift"/>
    <w:basedOn w:val="TabellenInhalt"/>
    <w:rsid w:val="000F37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-nds.iaea.org/nrdc/al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0024-99DF-403A-9B83-F270FC45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6325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13</cp:revision>
  <cp:lastPrinted>2013-11-13T17:33:00Z</cp:lastPrinted>
  <dcterms:created xsi:type="dcterms:W3CDTF">2018-04-05T08:53:00Z</dcterms:created>
  <dcterms:modified xsi:type="dcterms:W3CDTF">2018-04-06T19:04:00Z</dcterms:modified>
</cp:coreProperties>
</file>