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7BF0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0F0C7BF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0F0C7BF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P.O.Box 100, A-1400 Vienna, Austria</w:t>
      </w:r>
    </w:p>
    <w:p w14:paraId="0F0C7BF3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0F0C7BF4" w14:textId="7D4FF9C1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000ADB">
        <w:rPr>
          <w:b/>
          <w:sz w:val="24"/>
          <w:szCs w:val="24"/>
          <w:u w:val="single"/>
          <w:lang w:val="en-GB" w:eastAsia="ja-JP"/>
        </w:rPr>
        <w:t>6</w:t>
      </w:r>
    </w:p>
    <w:p w14:paraId="0F0C7BF5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0F0C7BF6" w14:textId="7BF3701D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CE7101">
        <w:rPr>
          <w:sz w:val="24"/>
          <w:szCs w:val="24"/>
          <w:lang w:val="en-GB"/>
        </w:rPr>
        <w:t>9</w:t>
      </w:r>
      <w:bookmarkStart w:id="0" w:name="_GoBack"/>
      <w:bookmarkEnd w:id="0"/>
      <w:r w:rsidR="00000ADB">
        <w:rPr>
          <w:sz w:val="24"/>
          <w:szCs w:val="24"/>
          <w:lang w:val="en-GB"/>
        </w:rPr>
        <w:t xml:space="preserve"> November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14:paraId="0F0C7BF7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0F0C7BF8" w14:textId="787B5ABD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0F0C7BF9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0CC5524" w14:textId="77777777" w:rsidR="00000ADB" w:rsidRPr="00000ADB" w:rsidRDefault="00CF1312" w:rsidP="00000AD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000ADB" w:rsidRPr="00000ADB">
        <w:rPr>
          <w:rFonts w:eastAsia="MS Mincho"/>
          <w:b/>
          <w:sz w:val="24"/>
          <w:szCs w:val="24"/>
          <w:lang w:val="en-GB"/>
        </w:rPr>
        <w:t>EXFOR compilation statistics since last NRDC meeting</w:t>
      </w:r>
    </w:p>
    <w:p w14:paraId="1DF51A92" w14:textId="77777777" w:rsidR="00000ADB" w:rsidRPr="00000ADB" w:rsidRDefault="00000ADB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5F091640" w14:textId="71875766" w:rsidR="00000ADB" w:rsidRPr="00000ADB" w:rsidRDefault="00000ADB" w:rsidP="00000ADB">
      <w:pPr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This is EXFOR compilation statistics as of </w:t>
      </w:r>
      <w:r>
        <w:rPr>
          <w:rFonts w:eastAsia="MS Mincho"/>
          <w:sz w:val="24"/>
          <w:szCs w:val="24"/>
          <w:lang w:eastAsia="ja-JP"/>
        </w:rPr>
        <w:t>7 November</w:t>
      </w:r>
      <w:r w:rsidRPr="00000ADB">
        <w:rPr>
          <w:rFonts w:eastAsia="MS Mincho"/>
          <w:sz w:val="24"/>
          <w:szCs w:val="24"/>
          <w:lang w:eastAsia="ja-JP"/>
        </w:rPr>
        <w:t xml:space="preserve"> </w:t>
      </w:r>
      <w:r w:rsidRPr="00000ADB">
        <w:rPr>
          <w:rFonts w:eastAsia="MS Mincho" w:hint="eastAsia"/>
          <w:sz w:val="24"/>
          <w:szCs w:val="24"/>
          <w:lang w:eastAsia="ja-JP"/>
        </w:rPr>
        <w:t>extract</w:t>
      </w:r>
      <w:r w:rsidRPr="00000ADB">
        <w:rPr>
          <w:rFonts w:eastAsia="MS Mincho"/>
          <w:sz w:val="24"/>
          <w:szCs w:val="24"/>
          <w:lang w:eastAsia="ja-JP"/>
        </w:rPr>
        <w:t>ed from t</w:t>
      </w:r>
      <w:r w:rsidRPr="00000ADB">
        <w:rPr>
          <w:rFonts w:eastAsia="MS Mincho" w:hint="eastAsia"/>
          <w:sz w:val="24"/>
          <w:szCs w:val="24"/>
          <w:lang w:eastAsia="ja-JP"/>
        </w:rPr>
        <w:t>he Article Allocation List (</w:t>
      </w:r>
      <w:hyperlink r:id="rId8" w:history="1">
        <w:r w:rsidRPr="00000ADB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https://www-nds.iaea.org/nrdc/alloc/</w:t>
        </w:r>
      </w:hyperlink>
      <w:r w:rsidRPr="00000ADB">
        <w:rPr>
          <w:rFonts w:eastAsia="MS Mincho" w:hint="eastAsia"/>
          <w:sz w:val="24"/>
          <w:szCs w:val="24"/>
          <w:lang w:eastAsia="ja-JP"/>
        </w:rPr>
        <w:t xml:space="preserve">). </w:t>
      </w:r>
    </w:p>
    <w:p w14:paraId="7AA76C77" w14:textId="77777777" w:rsidR="00000ADB" w:rsidRPr="00000ADB" w:rsidRDefault="00000ADB" w:rsidP="00000ADB">
      <w:pPr>
        <w:autoSpaceDE w:val="0"/>
        <w:autoSpaceDN w:val="0"/>
        <w:adjustRightInd w:val="0"/>
        <w:rPr>
          <w:rFonts w:eastAsia="MS Mincho"/>
          <w:b/>
          <w:sz w:val="24"/>
          <w:szCs w:val="24"/>
          <w:lang w:eastAsia="ja-JP"/>
        </w:rPr>
      </w:pPr>
    </w:p>
    <w:tbl>
      <w:tblPr>
        <w:tblW w:w="70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000ADB" w:rsidRPr="00000ADB" w14:paraId="55E5F2C7" w14:textId="77777777" w:rsidTr="00E651C0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8FB8F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746D7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547D3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 transmitted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613974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000AD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s </w:t>
            </w:r>
            <w:r w:rsidRPr="00000AD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 w:rsidRPr="00000ADB"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000ADB" w:rsidRPr="00000ADB" w14:paraId="7DAB110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F9BC0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6FE54" w14:textId="1F1BE4DE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78D71" w14:textId="20DAC120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FA1959" w14:textId="58FC6FA5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</w:t>
            </w:r>
          </w:p>
        </w:tc>
      </w:tr>
      <w:tr w:rsidR="00000ADB" w:rsidRPr="00000ADB" w14:paraId="5C320843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D4A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374AC" w14:textId="33C28315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FA814" w14:textId="2A451F38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BFC694" w14:textId="6D455200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4</w:t>
            </w:r>
          </w:p>
        </w:tc>
      </w:tr>
      <w:tr w:rsidR="00000ADB" w:rsidRPr="00000ADB" w14:paraId="1DCB3D35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3CCC8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3D15A" w14:textId="02243178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3221F" w14:textId="731098D2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40AA1E" w14:textId="10B65684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12</w:t>
            </w:r>
          </w:p>
        </w:tc>
      </w:tr>
      <w:tr w:rsidR="00000ADB" w:rsidRPr="00000ADB" w14:paraId="61E0722E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7DAE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639D7" w14:textId="328817F5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5F074" w14:textId="2B8D9346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567C05" w14:textId="72223E20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53</w:t>
            </w:r>
          </w:p>
        </w:tc>
      </w:tr>
      <w:tr w:rsidR="00000ADB" w:rsidRPr="00000ADB" w14:paraId="464ED877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9288C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7AE4" w14:textId="224E8EED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87CBB" w14:textId="2F3BE997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C5EE2B" w14:textId="1B2DBEFA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24</w:t>
            </w:r>
          </w:p>
        </w:tc>
      </w:tr>
      <w:tr w:rsidR="00000ADB" w:rsidRPr="00000ADB" w14:paraId="1E6FA24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315FC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F4CB3" w14:textId="047DDA4F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E34F0" w14:textId="2E78394E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B1A0B9" w14:textId="373D03E7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172</w:t>
            </w:r>
          </w:p>
        </w:tc>
      </w:tr>
      <w:tr w:rsidR="00000ADB" w:rsidRPr="00000ADB" w14:paraId="76EEFC25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0C200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F55CA" w14:textId="2EDCF264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AED69" w14:textId="0B77618F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52DCD7" w14:textId="6958A29B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30</w:t>
            </w:r>
          </w:p>
        </w:tc>
      </w:tr>
      <w:tr w:rsidR="00000ADB" w:rsidRPr="00000ADB" w14:paraId="449920B2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C01B1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9ACA9" w14:textId="5A47EC15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17C34" w14:textId="611D8983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56A233" w14:textId="222CA02C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63</w:t>
            </w:r>
          </w:p>
        </w:tc>
      </w:tr>
      <w:tr w:rsidR="00000ADB" w:rsidRPr="00000ADB" w14:paraId="494F9C8B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81FE9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  <w:r w:rsidRPr="00000ADB">
              <w:rPr>
                <w:rFonts w:eastAsia="MS PGothic"/>
                <w:bCs/>
                <w:color w:val="333333"/>
                <w:sz w:val="24"/>
                <w:szCs w:val="24"/>
                <w:vertAlign w:val="superscript"/>
                <w:lang w:eastAsia="ja-JP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CFFEB" w14:textId="7C528819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29EC8" w14:textId="3B79CAB5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023247" w14:textId="0D7C4D79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26</w:t>
            </w:r>
          </w:p>
        </w:tc>
      </w:tr>
      <w:tr w:rsidR="00000ADB" w:rsidRPr="00000ADB" w14:paraId="72326FD3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556AB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A8D41" w14:textId="55628F4D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9B3C1" w14:textId="7C214BFC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11D559" w14:textId="25EF380A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382</w:t>
            </w:r>
          </w:p>
        </w:tc>
      </w:tr>
      <w:tr w:rsidR="00000ADB" w:rsidRPr="00000ADB" w14:paraId="3A3AAD94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8F036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3F326" w14:textId="5DA05F3C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3E71A" w14:textId="238493C2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35924E" w14:textId="5D683454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542</w:t>
            </w:r>
          </w:p>
        </w:tc>
      </w:tr>
      <w:tr w:rsidR="00000ADB" w:rsidRPr="00000ADB" w14:paraId="37374A78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21C853" w14:textId="77777777" w:rsidR="00000ADB" w:rsidRPr="00000ADB" w:rsidRDefault="00000ADB" w:rsidP="00000ADB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UkrNDC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30F15E2" w14:textId="4CE1E513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4C75126" w14:textId="07C82261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80F4AC" w14:textId="6FCC2076" w:rsidR="00000ADB" w:rsidRPr="00000ADB" w:rsidRDefault="00000ADB" w:rsidP="00000ADB">
            <w:pPr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>
              <w:rPr>
                <w:rFonts w:eastAsia="MS Mincho"/>
                <w:color w:val="333333"/>
                <w:sz w:val="24"/>
                <w:szCs w:val="24"/>
              </w:rPr>
              <w:t>39</w:t>
            </w:r>
          </w:p>
        </w:tc>
      </w:tr>
      <w:tr w:rsidR="00000ADB" w:rsidRPr="00000ADB" w14:paraId="45DE982C" w14:textId="77777777" w:rsidTr="00E651C0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0AB38" w14:textId="77777777" w:rsidR="00000ADB" w:rsidRPr="00000ADB" w:rsidRDefault="00000ADB" w:rsidP="00000ADB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000AD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56413" w14:textId="6328C571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154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D19D9" w14:textId="4D96CB44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530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5577B8" w14:textId="157C6CC5" w:rsidR="00000ADB" w:rsidRPr="00000ADB" w:rsidRDefault="00000ADB" w:rsidP="00000ADB">
            <w:pPr>
              <w:jc w:val="center"/>
              <w:rPr>
                <w:rFonts w:eastAsia="MS Mincho"/>
                <w:b/>
                <w:color w:val="333333"/>
                <w:sz w:val="24"/>
                <w:szCs w:val="24"/>
              </w:rPr>
            </w:pPr>
            <w:r>
              <w:rPr>
                <w:rFonts w:eastAsia="MS Mincho"/>
                <w:b/>
                <w:color w:val="333333"/>
                <w:sz w:val="24"/>
                <w:szCs w:val="24"/>
              </w:rPr>
              <w:t>1353</w:t>
            </w:r>
          </w:p>
        </w:tc>
      </w:tr>
    </w:tbl>
    <w:p w14:paraId="0780B105" w14:textId="77777777" w:rsidR="00000ADB" w:rsidRPr="00000ADB" w:rsidRDefault="00000ADB" w:rsidP="00000ADB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F13C8E8" w14:textId="6BFBFC8E" w:rsidR="00000ADB" w:rsidRPr="00000ADB" w:rsidRDefault="00000ADB" w:rsidP="00000AD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 xml:space="preserve">Number of entries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in finalized trans tapes </w:t>
      </w:r>
      <w:r w:rsidRPr="00000ADB">
        <w:rPr>
          <w:rFonts w:eastAsia="MS Mincho"/>
          <w:sz w:val="24"/>
          <w:szCs w:val="24"/>
          <w:lang w:eastAsia="ja-JP"/>
        </w:rPr>
        <w:t xml:space="preserve">transmitted </w:t>
      </w:r>
      <w:r w:rsidRPr="00000ADB">
        <w:rPr>
          <w:rFonts w:eastAsia="MS Mincho" w:hint="eastAsia"/>
          <w:sz w:val="24"/>
          <w:szCs w:val="24"/>
          <w:lang w:eastAsia="ja-JP"/>
        </w:rPr>
        <w:t xml:space="preserve">after </w:t>
      </w:r>
      <w:r w:rsidRPr="00000ADB">
        <w:rPr>
          <w:rFonts w:eastAsia="MS Mincho"/>
          <w:sz w:val="24"/>
          <w:szCs w:val="24"/>
          <w:lang w:eastAsia="ja-JP"/>
        </w:rPr>
        <w:t>preparation of the full summary (WP201</w:t>
      </w:r>
      <w:r>
        <w:rPr>
          <w:rFonts w:eastAsia="MS Mincho"/>
          <w:sz w:val="24"/>
          <w:szCs w:val="24"/>
          <w:lang w:eastAsia="ja-JP"/>
        </w:rPr>
        <w:t>8</w:t>
      </w:r>
      <w:r w:rsidRPr="00000ADB">
        <w:rPr>
          <w:rFonts w:eastAsia="MS Mincho"/>
          <w:sz w:val="24"/>
          <w:szCs w:val="24"/>
          <w:lang w:eastAsia="ja-JP"/>
        </w:rPr>
        <w:t xml:space="preserve">-02) for </w:t>
      </w:r>
      <w:r w:rsidRPr="00000ADB">
        <w:rPr>
          <w:rFonts w:eastAsia="MS Mincho" w:hint="eastAsia"/>
          <w:sz w:val="24"/>
          <w:szCs w:val="24"/>
          <w:lang w:eastAsia="ja-JP"/>
        </w:rPr>
        <w:t>the last NRDC meeting (</w:t>
      </w:r>
      <w:r w:rsidRPr="00000ADB">
        <w:rPr>
          <w:rFonts w:eastAsia="MS Mincho"/>
          <w:sz w:val="24"/>
          <w:szCs w:val="24"/>
          <w:lang w:eastAsia="ja-JP"/>
        </w:rPr>
        <w:t>201</w:t>
      </w:r>
      <w:r>
        <w:rPr>
          <w:rFonts w:eastAsia="MS Mincho"/>
          <w:sz w:val="24"/>
          <w:szCs w:val="24"/>
          <w:lang w:eastAsia="ja-JP"/>
        </w:rPr>
        <w:t>8-04-2</w:t>
      </w:r>
      <w:r w:rsidRPr="00000ADB">
        <w:rPr>
          <w:rFonts w:eastAsia="MS Mincho"/>
          <w:sz w:val="24"/>
          <w:szCs w:val="24"/>
          <w:lang w:eastAsia="ja-JP"/>
        </w:rPr>
        <w:t>5)</w:t>
      </w:r>
      <w:r w:rsidRPr="00000ADB">
        <w:rPr>
          <w:rFonts w:eastAsia="MS Mincho" w:hint="eastAsia"/>
          <w:sz w:val="24"/>
          <w:szCs w:val="24"/>
          <w:lang w:eastAsia="ja-JP"/>
        </w:rPr>
        <w:t>.</w:t>
      </w:r>
      <w:r w:rsidRPr="00000ADB">
        <w:rPr>
          <w:rFonts w:eastAsia="MS Mincho"/>
          <w:sz w:val="24"/>
          <w:szCs w:val="24"/>
          <w:lang w:eastAsia="ja-JP"/>
        </w:rPr>
        <w:t xml:space="preserve"> The date indicated in the TRANS record (N2) is used for this purpose. Accordingly, the following final TRANS tapes are within the scope of this statistics:</w:t>
      </w:r>
    </w:p>
    <w:p w14:paraId="650F600B" w14:textId="19893894" w:rsidR="00000ADB" w:rsidRPr="00000ADB" w:rsidRDefault="00000ADB" w:rsidP="00000ADB">
      <w:pPr>
        <w:autoSpaceDE w:val="0"/>
        <w:autoSpaceDN w:val="0"/>
        <w:adjustRightInd w:val="0"/>
        <w:spacing w:before="120"/>
        <w:ind w:left="4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1439, 1440, 1441, 1442, 1443, 2266, 2267, 3183, 3184, 3185, 4178, 4179, A089, A090, B027, B028, C174, C175, C176, D116, D117, E115, E116, F068, G041, L035, L036, M095, M096, M097, O064, S024, V036</w:t>
      </w:r>
    </w:p>
    <w:p w14:paraId="19E47844" w14:textId="77777777" w:rsidR="00000ADB" w:rsidRPr="00000ADB" w:rsidRDefault="00000ADB" w:rsidP="00000ADB">
      <w:pPr>
        <w:numPr>
          <w:ilvl w:val="0"/>
          <w:numId w:val="9"/>
        </w:numPr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14:paraId="6CE67C40" w14:textId="77777777" w:rsidR="00000ADB" w:rsidRPr="00000ADB" w:rsidRDefault="00000ADB" w:rsidP="00000AD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eastAsia="MS Mincho"/>
          <w:sz w:val="24"/>
          <w:szCs w:val="24"/>
          <w:lang w:eastAsia="ja-JP"/>
        </w:rPr>
      </w:pPr>
      <w:r w:rsidRPr="00000ADB">
        <w:rPr>
          <w:rFonts w:eastAsia="MS Mincho"/>
          <w:sz w:val="24"/>
          <w:szCs w:val="24"/>
          <w:lang w:eastAsia="ja-JP"/>
        </w:rPr>
        <w:t>Including articles compiled / to be compiled by the Almaty and Ulaanbaatar group.</w:t>
      </w:r>
    </w:p>
    <w:p w14:paraId="6139A240" w14:textId="77777777" w:rsidR="00000ADB" w:rsidRPr="00000ADB" w:rsidRDefault="00000ADB" w:rsidP="00000ADB">
      <w:pPr>
        <w:jc w:val="both"/>
        <w:rPr>
          <w:rFonts w:eastAsia="MS Mincho"/>
          <w:sz w:val="24"/>
          <w:szCs w:val="24"/>
          <w:lang w:eastAsia="ja-JP"/>
        </w:rPr>
      </w:pPr>
    </w:p>
    <w:p w14:paraId="3550284A" w14:textId="3D14B897" w:rsidR="00000ADB" w:rsidRDefault="00000ADB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14:paraId="5EFA4D00" w14:textId="4368D22A" w:rsidR="00000ADB" w:rsidRDefault="00000ADB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14:paraId="0F0C7C03" w14:textId="77777777" w:rsidR="003A3697" w:rsidRDefault="002D2F05" w:rsidP="002D2F05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lastRenderedPageBreak/>
        <w:t>Distribution:</w:t>
      </w:r>
    </w:p>
    <w:p w14:paraId="0F0C7C04" w14:textId="77777777" w:rsidR="003A3697" w:rsidRDefault="003A3697" w:rsidP="002D2F05">
      <w:pPr>
        <w:rPr>
          <w:sz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0F0C7C05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a.koning@iaea.org</w:t>
      </w:r>
    </w:p>
    <w:p w14:paraId="0F0C7C06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14:paraId="0F0C7C07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14:paraId="0F0C7C08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14:paraId="0F0C7C09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14:paraId="0F0C7C0A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14:paraId="0F0C7C0B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14:paraId="0F0C7C0C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14:paraId="0F0C7C0D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14:paraId="0F0C7C0E" w14:textId="77777777" w:rsidR="002D2F05" w:rsidRDefault="002D2F05" w:rsidP="002D2F05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14:paraId="0F0C7C0F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14:paraId="0F0C7C10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14:paraId="0F0C7C11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14:paraId="0F0C7C12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14:paraId="0F0C7C13" w14:textId="77777777"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14:paraId="0F0C7C14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14:paraId="0F0C7C15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14:paraId="0F0C7C16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14:paraId="0F0C7C17" w14:textId="77777777"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14:paraId="0F0C7C18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14:paraId="0F0C7C19" w14:textId="77777777" w:rsidR="00C00BB7" w:rsidRDefault="00C00BB7" w:rsidP="002D2F05">
      <w:pPr>
        <w:rPr>
          <w:sz w:val="24"/>
          <w:lang w:val="en-GB" w:eastAsia="ja-JP"/>
        </w:rPr>
      </w:pPr>
      <w:r w:rsidRPr="00C00BB7">
        <w:rPr>
          <w:sz w:val="24"/>
          <w:lang w:val="en-GB" w:eastAsia="ja-JP"/>
        </w:rPr>
        <w:t>mwherman@bnl.gov</w:t>
      </w:r>
    </w:p>
    <w:p w14:paraId="0F0C7C1A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14:paraId="0F0C7C1B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14:paraId="0F0C7C1C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14:paraId="0F0C7C1D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14:paraId="0F0C7C1E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14:paraId="0F0C7C1F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14:paraId="0F0C7C20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14:paraId="0F0C7C21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14:paraId="0F0C7C22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14:paraId="0F0C7C23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14:paraId="0F0C7C24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14:paraId="0F0C7C25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14:paraId="0F0C7C26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14:paraId="0F0C7C27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14:paraId="0F0C7C28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14:paraId="0F0C7C29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14:paraId="0F0C7C2A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14:paraId="0F0C7C2B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14:paraId="0F0C7C2C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14:paraId="0F0C7C2D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14:paraId="0F0C7C2E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14:paraId="0F0C7C2F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14:paraId="0F0C7C30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14:paraId="0F0C7C31" w14:textId="77777777"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14:paraId="0F0C7C32" w14:textId="77777777" w:rsidR="002B2C8A" w:rsidRDefault="003A3697" w:rsidP="003A3697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14:paraId="0F0C7C33" w14:textId="77777777" w:rsidR="003A3697" w:rsidRDefault="003A3697" w:rsidP="003A3697">
      <w:pPr>
        <w:rPr>
          <w:sz w:val="24"/>
          <w:szCs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0F0C7C34" w14:textId="77777777" w:rsidR="00262E1D" w:rsidRDefault="00262E1D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br w:type="page"/>
      </w:r>
    </w:p>
    <w:p w14:paraId="0F0C7C35" w14:textId="77777777" w:rsidR="00262E1D" w:rsidRPr="00262E1D" w:rsidRDefault="00262E1D" w:rsidP="00262E1D">
      <w:pPr>
        <w:rPr>
          <w:rFonts w:eastAsia="MS Mincho"/>
          <w:b/>
          <w:sz w:val="28"/>
          <w:szCs w:val="28"/>
        </w:rPr>
      </w:pPr>
      <w:bookmarkStart w:id="1" w:name="_Toc44743979"/>
      <w:bookmarkStart w:id="2" w:name="_Toc44744313"/>
      <w:bookmarkStart w:id="3" w:name="_Toc44751441"/>
      <w:bookmarkStart w:id="4" w:name="_Toc82588030"/>
      <w:bookmarkStart w:id="5" w:name="_Toc83891287"/>
      <w:bookmarkStart w:id="6" w:name="_Toc83892160"/>
      <w:bookmarkStart w:id="7" w:name="_Toc268646300"/>
      <w:bookmarkStart w:id="8" w:name="_Toc268766852"/>
      <w:r w:rsidRPr="00262E1D">
        <w:rPr>
          <w:rFonts w:eastAsia="MS Mincho"/>
          <w:b/>
          <w:sz w:val="28"/>
          <w:szCs w:val="28"/>
        </w:rPr>
        <w:lastRenderedPageBreak/>
        <w:t>Sums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F0C7C36" w14:textId="77777777" w:rsidR="00262E1D" w:rsidRPr="00262E1D" w:rsidRDefault="00262E1D" w:rsidP="00262E1D">
      <w:pPr>
        <w:rPr>
          <w:rFonts w:eastAsia="MS Mincho"/>
          <w:sz w:val="24"/>
          <w:szCs w:val="24"/>
          <w:lang w:val="en-GB" w:eastAsia="ja-JP"/>
        </w:rPr>
      </w:pPr>
    </w:p>
    <w:p w14:paraId="0F0C7C37" w14:textId="77777777"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ja-JP"/>
        </w:rPr>
      </w:pPr>
      <w:r w:rsidRPr="00262E1D">
        <w:rPr>
          <w:rFonts w:eastAsia="MS Mincho" w:cs="Courier New"/>
          <w:sz w:val="24"/>
          <w:szCs w:val="24"/>
          <w:lang w:val="en-GB" w:eastAsia="en-US"/>
        </w:rPr>
        <w:t>Sums of 2 or more reactions can be expressed as a reaction combination using the separator `</w:t>
      </w:r>
      <w:r w:rsidRPr="00262E1D">
        <w:rPr>
          <w:rFonts w:ascii="Courier New" w:eastAsia="MS Mincho" w:hAnsi="Courier New" w:cs="Courier New"/>
          <w:lang w:val="en-GB" w:eastAsia="en-US"/>
        </w:rPr>
        <w:t>+</w:t>
      </w:r>
      <w:r w:rsidRPr="00262E1D">
        <w:rPr>
          <w:rFonts w:eastAsia="MS Mincho" w:cs="Courier New"/>
          <w:sz w:val="24"/>
          <w:szCs w:val="24"/>
          <w:lang w:val="en-GB" w:eastAsia="en-US"/>
        </w:rPr>
        <w:t>´ (see EXFOR Formats Manual Chapter 6).</w:t>
      </w:r>
    </w:p>
    <w:p w14:paraId="0F0C7C38" w14:textId="77777777"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ja-JP"/>
        </w:rPr>
      </w:pPr>
    </w:p>
    <w:p w14:paraId="0F0C7C39" w14:textId="77777777" w:rsidR="00262E1D" w:rsidRPr="000D1209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en-US"/>
        </w:rPr>
      </w:pPr>
      <w:r w:rsidRPr="00220FEB">
        <w:rPr>
          <w:rFonts w:eastAsia="MS Mincho" w:cs="Courier New"/>
          <w:strike/>
          <w:color w:val="FF0000"/>
          <w:sz w:val="24"/>
          <w:szCs w:val="24"/>
          <w:lang w:val="en-GB" w:eastAsia="en-US"/>
        </w:rPr>
        <w:t>For mathematical correctness, certain reaction combinations require that isotopic abundances be coded in SF8:</w:t>
      </w:r>
    </w:p>
    <w:p w14:paraId="0F0C7C3A" w14:textId="77777777" w:rsidR="00262E1D" w:rsidRPr="00262E1D" w:rsidRDefault="00262E1D" w:rsidP="00262E1D">
      <w:pPr>
        <w:tabs>
          <w:tab w:val="left" w:pos="284"/>
        </w:tabs>
        <w:ind w:left="567" w:hanging="567"/>
        <w:jc w:val="both"/>
        <w:rPr>
          <w:rFonts w:eastAsia="MS Mincho" w:cs="Courier New"/>
          <w:b/>
          <w:i/>
          <w:sz w:val="24"/>
          <w:szCs w:val="24"/>
          <w:lang w:val="en-GB" w:eastAsia="ja-JP"/>
        </w:rPr>
      </w:pPr>
    </w:p>
    <w:p w14:paraId="0F0C7C3B" w14:textId="77777777" w:rsidR="00262E1D" w:rsidRPr="00D353F0" w:rsidRDefault="00262E1D" w:rsidP="00262E1D">
      <w:pPr>
        <w:tabs>
          <w:tab w:val="left" w:pos="284"/>
        </w:tabs>
        <w:ind w:left="567" w:hanging="567"/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b/>
          <w:i/>
          <w:strike/>
          <w:color w:val="FF0000"/>
          <w:sz w:val="24"/>
          <w:szCs w:val="24"/>
          <w:lang w:val="en-GB" w:eastAsia="en-US"/>
        </w:rPr>
        <w:t>Example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en-US"/>
        </w:rPr>
        <w:t>:</w:t>
      </w:r>
    </w:p>
    <w:p w14:paraId="0F0C7C3C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Two expressions of the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 production cross section by neutron irradiation of a natural titanium sample at the neutron energy where only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 and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 contribute (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: natural isotopic abundance):</w:t>
      </w:r>
    </w:p>
    <w:p w14:paraId="0F0C7C3D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</w:p>
    <w:p w14:paraId="0F0C7C3E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ja-JP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REACTION</w:t>
      </w: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((22-TI-47(N,P)21-SC-47,,SIG,,A)+</w:t>
      </w:r>
    </w:p>
    <w:p w14:paraId="0F0C7C3F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en-US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     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(22-TI-48(N,X)21-SC-47,,SIG,,A))</w:t>
      </w:r>
    </w:p>
    <w:p w14:paraId="0F0C7C40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ab/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Ti(n,p)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Sc] +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Ti(n,np+pn+d)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 xml:space="preserve"> 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=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 xml:space="preserve"> 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nat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Ti(n,x)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</w:t>
      </w:r>
    </w:p>
    <w:p w14:paraId="0F0C7C41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</w:p>
    <w:p w14:paraId="0F0C7C42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ja-JP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REACTION</w:t>
      </w: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((22-TI-47(N,P)21-SC-47,,SIG)+</w:t>
      </w:r>
    </w:p>
    <w:p w14:paraId="0F0C7C43" w14:textId="77777777" w:rsidR="00262E1D" w:rsidRPr="00D353F0" w:rsidRDefault="00262E1D" w:rsidP="00262E1D">
      <w:pPr>
        <w:tabs>
          <w:tab w:val="left" w:pos="284"/>
        </w:tabs>
        <w:jc w:val="both"/>
        <w:rPr>
          <w:rFonts w:ascii="Courier New" w:eastAsia="MS Mincho" w:hAnsi="Courier New" w:cs="Courier New"/>
          <w:strike/>
          <w:color w:val="FF0000"/>
          <w:lang w:val="en-GB" w:eastAsia="en-US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     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(22-TI-48(N,X)21-SC-47,,SIG,,RAB))</w:t>
      </w:r>
      <w:bookmarkStart w:id="9" w:name="_Toc268646301"/>
      <w:bookmarkStart w:id="10" w:name="_Toc268766853"/>
    </w:p>
    <w:p w14:paraId="0F0C7C44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/>
          <w:strike/>
          <w:color w:val="FF0000"/>
          <w:sz w:val="24"/>
          <w:szCs w:val="24"/>
          <w:lang w:val="en-GB" w:eastAsia="ja-JP"/>
        </w:rPr>
      </w:pPr>
    </w:p>
    <w:p w14:paraId="0F0C7C45" w14:textId="77777777"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ab/>
        <w:t>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Ti(n,p)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Sc] + [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/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Ti)]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Ti(n,np+pn+d)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 xml:space="preserve"> 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=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 xml:space="preserve"> 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nat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Ti(n,x)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/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 xml:space="preserve"> 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Ti)</w:t>
      </w:r>
    </w:p>
    <w:p w14:paraId="0F0C7C46" w14:textId="77777777"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lang w:val="en-GB" w:eastAsia="en-US"/>
        </w:rPr>
      </w:pPr>
    </w:p>
    <w:p w14:paraId="0F0C7C47" w14:textId="77777777"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lang w:val="en-GB" w:eastAsia="en-US"/>
        </w:rPr>
      </w:pPr>
    </w:p>
    <w:p w14:paraId="0F0C7C48" w14:textId="77777777" w:rsidR="00262E1D" w:rsidRPr="00262E1D" w:rsidRDefault="00262E1D" w:rsidP="00262E1D">
      <w:pPr>
        <w:rPr>
          <w:rFonts w:eastAsia="MS Mincho"/>
          <w:b/>
          <w:strike/>
          <w:color w:val="FF0000"/>
          <w:sz w:val="24"/>
          <w:szCs w:val="24"/>
          <w:u w:val="single"/>
          <w:lang w:val="en-GB" w:eastAsia="ja-JP"/>
        </w:rPr>
      </w:pP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en-US"/>
        </w:rPr>
        <w:t xml:space="preserve">Sum </w:t>
      </w: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ja-JP"/>
        </w:rPr>
        <w:t>R</w:t>
      </w: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en-US"/>
        </w:rPr>
        <w:t>eactions</w:t>
      </w:r>
      <w:bookmarkEnd w:id="9"/>
      <w:bookmarkEnd w:id="10"/>
    </w:p>
    <w:p w14:paraId="0F0C7C49" w14:textId="77777777"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Sum reactions </w:t>
      </w:r>
      <w:r w:rsidRPr="00262E1D">
        <w:rPr>
          <w:rFonts w:eastAsia="MS Mincho" w:cs="Courier New"/>
          <w:sz w:val="24"/>
          <w:szCs w:val="24"/>
          <w:lang w:val="en-GB" w:eastAsia="en-US"/>
        </w:rPr>
        <w:t>such as absorption or nuclide production, where the individual competing reactions may not be known, are not coded using the form above.</w:t>
      </w:r>
    </w:p>
    <w:p w14:paraId="0F0C7C4A" w14:textId="77777777" w:rsidR="00262E1D" w:rsidRDefault="00262E1D" w:rsidP="00262E1D">
      <w:pPr>
        <w:tabs>
          <w:tab w:val="left" w:pos="284"/>
        </w:tabs>
        <w:jc w:val="both"/>
        <w:rPr>
          <w:rFonts w:eastAsia="MS Mincho" w:cs="Courier New"/>
          <w:b/>
          <w:sz w:val="24"/>
          <w:szCs w:val="24"/>
          <w:u w:val="single"/>
          <w:lang w:val="en-GB" w:eastAsia="ja-JP"/>
        </w:rPr>
      </w:pPr>
    </w:p>
    <w:p w14:paraId="0F0C7C4B" w14:textId="77777777" w:rsidR="00262E1D" w:rsidRPr="00FD54F3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b/>
          <w:color w:val="FF0000"/>
          <w:sz w:val="24"/>
          <w:szCs w:val="24"/>
          <w:u w:val="single"/>
          <w:lang w:val="en-GB" w:eastAsia="ja-JP"/>
        </w:rPr>
      </w:pPr>
      <w:r w:rsidRPr="00FD54F3">
        <w:rPr>
          <w:rFonts w:eastAsia="MS Mincho" w:cs="Courier New" w:hint="eastAsia"/>
          <w:b/>
          <w:color w:val="FF0000"/>
          <w:sz w:val="24"/>
          <w:szCs w:val="24"/>
          <w:u w:val="single"/>
          <w:lang w:val="en-GB" w:eastAsia="ja-JP"/>
        </w:rPr>
        <w:t>Production from Several Contributing Target Nuclides</w:t>
      </w:r>
    </w:p>
    <w:p w14:paraId="0F0C7C4C" w14:textId="77777777" w:rsidR="00FD54F3" w:rsidRPr="00FD54F3" w:rsidRDefault="00262E1D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When several tar</w:t>
      </w:r>
      <w:r w:rsidR="004A1F49">
        <w:rPr>
          <w:rFonts w:eastAsia="MS Mincho"/>
          <w:color w:val="FF0000"/>
          <w:sz w:val="24"/>
          <w:szCs w:val="24"/>
          <w:lang w:val="en-GB" w:eastAsia="ja-JP"/>
        </w:rPr>
        <w:t xml:space="preserve">get nuclides of the element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may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contribute to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formation of a product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, </w:t>
      </w:r>
      <w:r w:rsidR="00EF2594" w:rsidRPr="00FD54F3">
        <w:rPr>
          <w:rFonts w:eastAsia="MS Mincho"/>
          <w:color w:val="FF0000"/>
          <w:sz w:val="24"/>
          <w:szCs w:val="24"/>
          <w:lang w:val="en-GB" w:eastAsia="ja-JP"/>
        </w:rPr>
        <w:t>the author may express it by a sum of isotopic cross sections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.</w:t>
      </w:r>
      <w:r w:rsidR="00EF2594"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 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In the following examples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</w:p>
    <w:p w14:paraId="0F0C7C4D" w14:textId="77777777" w:rsidR="00FD54F3" w:rsidRPr="00FD54F3" w:rsidRDefault="00EF2594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a(A)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is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the isotopic abundance of the target nuclide A, </w:t>
      </w:r>
    </w:p>
    <w:p w14:paraId="0F0C7C4E" w14:textId="77777777" w:rsidR="00FD54F3" w:rsidRPr="00FD54F3" w:rsidRDefault="00EF2594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σ(A)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is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 the isotopic cross sectio</w:t>
      </w:r>
      <w:r w:rsidR="004A1F49">
        <w:rPr>
          <w:rFonts w:eastAsia="MS Mincho"/>
          <w:color w:val="FF0000"/>
          <w:sz w:val="24"/>
          <w:szCs w:val="24"/>
          <w:lang w:val="en-GB" w:eastAsia="ja-JP"/>
        </w:rPr>
        <w:t xml:space="preserve">n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for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the target nuclide A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</w:p>
    <w:p w14:paraId="0F0C7C4F" w14:textId="77777777" w:rsidR="00FD54F3" w:rsidRPr="00FD54F3" w:rsidRDefault="00FD54F3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σ(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0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) is the elemental cross section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(</w:t>
      </w:r>
      <w:r w:rsidR="004A1F49" w:rsidRPr="004A1F49">
        <w:rPr>
          <w:rFonts w:eastAsia="MS Mincho" w:hint="eastAsia"/>
          <w:i/>
          <w:color w:val="FF0000"/>
          <w:sz w:val="24"/>
          <w:szCs w:val="24"/>
          <w:lang w:val="en-GB" w:eastAsia="ja-JP"/>
        </w:rPr>
        <w:t>i.e.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, 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production cross section for a natural sample).</w:t>
      </w:r>
    </w:p>
    <w:p w14:paraId="0F0C7C50" w14:textId="77777777" w:rsidR="00262E1D" w:rsidRDefault="00EF2594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Summation is taken over the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all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energetically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possible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production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channel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s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:</w:t>
      </w:r>
    </w:p>
    <w:p w14:paraId="0F0C7C51" w14:textId="77777777" w:rsidR="004A1F49" w:rsidRPr="004A1F49" w:rsidRDefault="004A1F49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</w:p>
    <w:p w14:paraId="0F0C7C52" w14:textId="77777777" w:rsidR="00262E1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σ(0)=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a(A)σ(A)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+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a(B)σ(B)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+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...</w:t>
      </w:r>
    </w:p>
    <w:p w14:paraId="0F0C7C53" w14:textId="77777777"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This is nothing other than the elemental c</w:t>
      </w:r>
      <w:r w:rsidR="00BF00DD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ross section, and should not be coded by the sum reactions.</w:t>
      </w:r>
    </w:p>
    <w:p w14:paraId="0F0C7C54" w14:textId="77777777"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Example</w:t>
      </w:r>
      <w:r w:rsidR="00BF00DD"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:</w:t>
      </w:r>
    </w:p>
    <w:p w14:paraId="0F0C7C55" w14:textId="77777777"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ascii="Courier New" w:eastAsia="MS Mincho" w:hAnsi="Courier New" w:cs="Courier New"/>
          <w:color w:val="FF0000"/>
          <w:lang w:val="en-GB" w:eastAsia="ja-JP"/>
        </w:rPr>
      </w:pPr>
      <w:r w:rsidRPr="00FD54F3">
        <w:rPr>
          <w:rFonts w:ascii="Courier New" w:eastAsia="MS Mincho" w:hAnsi="Courier New" w:cs="Courier New"/>
          <w:color w:val="FF0000"/>
          <w:lang w:val="en-GB" w:eastAsia="en-US"/>
        </w:rPr>
        <w:t>(22-TI-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0</w:t>
      </w:r>
      <w:r w:rsidRPr="00FD54F3">
        <w:rPr>
          <w:rFonts w:ascii="Courier New" w:eastAsia="MS Mincho" w:hAnsi="Courier New" w:cs="Courier New"/>
          <w:color w:val="FF0000"/>
          <w:lang w:val="en-GB" w:eastAsia="en-US"/>
        </w:rPr>
        <w:t>(N,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X</w:t>
      </w:r>
      <w:r w:rsidRPr="00FD54F3">
        <w:rPr>
          <w:rFonts w:ascii="Courier New" w:eastAsia="MS Mincho" w:hAnsi="Courier New" w:cs="Courier New"/>
          <w:color w:val="FF0000"/>
          <w:lang w:val="en-GB" w:eastAsia="en-US"/>
        </w:rPr>
        <w:t>)21-SC-47,,SIG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)</w:t>
      </w:r>
    </w:p>
    <w:p w14:paraId="0F0C7C56" w14:textId="77777777"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Forbidden:</w:t>
      </w:r>
    </w:p>
    <w:p w14:paraId="0F0C7C57" w14:textId="77777777" w:rsidR="00EF2594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/>
          <w:color w:val="FF0000"/>
          <w:lang w:val="en-GB" w:eastAsia="en-US"/>
        </w:rPr>
        <w:t>((22-TI-47(N,P)21-SC-47,,SIG,,A)+(22-TI-48(N,X)21-SC-47,,SIG,,A))</w:t>
      </w:r>
    </w:p>
    <w:p w14:paraId="0F0C7C58" w14:textId="77777777" w:rsidR="004A1F49" w:rsidRPr="00D353F0" w:rsidRDefault="004A1F49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</w:p>
    <w:p w14:paraId="0F0C7C59" w14:textId="77777777" w:rsidR="00BF00D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σ(0)/a(A)=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σ(A) + [a(B)/a(A)]σ(B) + ...</w:t>
      </w:r>
    </w:p>
    <w:p w14:paraId="0F0C7C5A" w14:textId="77777777"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lastRenderedPageBreak/>
        <w:t xml:space="preserve">This is coded with a modifier </w:t>
      </w:r>
      <w:r w:rsidRPr="00FD54F3">
        <w:rPr>
          <w:rFonts w:eastAsia="MS Mincho" w:hint="eastAsia"/>
          <w:color w:val="FF0000"/>
          <w:lang w:val="en-GB" w:eastAsia="ja-JP"/>
        </w:rPr>
        <w:t>RAB (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multiplied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by the natural isotopic abundance of the target nuclide divided by the natural isotopic abundance of the target nuclide of th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e first term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).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The isotopic abundance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)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adopted by the author must be given under SAMPLE if known.</w:t>
      </w:r>
    </w:p>
    <w:p w14:paraId="0F0C7C5B" w14:textId="77777777"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</w:t>
      </w: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:</w:t>
      </w:r>
    </w:p>
    <w:p w14:paraId="0F0C7C5C" w14:textId="77777777" w:rsidR="00BF00DD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/>
          <w:color w:val="FF0000"/>
          <w:lang w:val="en-GB" w:eastAsia="en-US"/>
        </w:rPr>
        <w:t>((22-TI-47(N,P)21-SC-47,,SIG)+(22-TI-48(N,X)21-SC-47,,SIG,,</w:t>
      </w:r>
      <w:r w:rsidRPr="00D353F0">
        <w:rPr>
          <w:rFonts w:eastAsia="MS Mincho"/>
          <w:color w:val="FF0000"/>
          <w:lang w:val="en-GB" w:eastAsia="ja-JP"/>
        </w:rPr>
        <w:t>RAB</w:t>
      </w:r>
      <w:r w:rsidRPr="00D353F0">
        <w:rPr>
          <w:rFonts w:eastAsia="MS Mincho"/>
          <w:color w:val="FF0000"/>
          <w:lang w:val="en-GB" w:eastAsia="en-US"/>
        </w:rPr>
        <w:t>))</w:t>
      </w:r>
    </w:p>
    <w:p w14:paraId="0F0C7C5D" w14:textId="77777777" w:rsidR="004A1F49" w:rsidRPr="00D353F0" w:rsidRDefault="004A1F49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</w:p>
    <w:p w14:paraId="0F0C7C5E" w14:textId="77777777" w:rsidR="00BF00D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σ(0)/[a(A)+a(B)+...]=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[</w:t>
      </w: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a(A)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σ(A) +</w:t>
      </w: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b(B)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σ(B) + ...] / [a(A) + a(B) + ...]</w:t>
      </w:r>
    </w:p>
    <w:p w14:paraId="0F0C7C5F" w14:textId="77777777"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This is coded with a general quantity modifier </w:t>
      </w:r>
      <w:r w:rsidRPr="00FD54F3">
        <w:rPr>
          <w:rFonts w:eastAsia="MS Mincho" w:hint="eastAsia"/>
          <w:color w:val="FF0000"/>
          <w:lang w:val="en-GB" w:eastAsia="ja-JP"/>
        </w:rPr>
        <w:t>FCT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with free text explanation about the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multiplier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.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The isotopic abundances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such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) and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B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) 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adopted by the author must be given under SAMPLE if known.</w:t>
      </w:r>
    </w:p>
    <w:p w14:paraId="0F0C7C60" w14:textId="77777777"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</w:t>
      </w: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:</w:t>
      </w:r>
    </w:p>
    <w:p w14:paraId="0F0C7C61" w14:textId="77777777" w:rsidR="00BF00DD" w:rsidRPr="00D353F0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en-US"/>
        </w:rPr>
      </w:pPr>
      <w:r w:rsidRPr="00D353F0">
        <w:rPr>
          <w:rFonts w:eastAsia="MS Mincho"/>
          <w:color w:val="FF0000"/>
          <w:lang w:val="en-GB" w:eastAsia="en-US"/>
        </w:rPr>
        <w:t>((22-TI-47(N,P)21-SC-47,,SIG</w:t>
      </w:r>
      <w:r w:rsidRPr="00D353F0">
        <w:rPr>
          <w:rFonts w:eastAsia="MS Mincho"/>
          <w:color w:val="FF0000"/>
          <w:lang w:val="en-GB" w:eastAsia="ja-JP"/>
        </w:rPr>
        <w:t>,,FCT</w:t>
      </w:r>
      <w:r w:rsidRPr="00D353F0">
        <w:rPr>
          <w:rFonts w:eastAsia="MS Mincho"/>
          <w:color w:val="FF0000"/>
          <w:lang w:val="en-GB" w:eastAsia="en-US"/>
        </w:rPr>
        <w:t>)+(22-TI-48(N,X)21-SC-47,,SIG,,</w:t>
      </w:r>
      <w:r w:rsidRPr="00D353F0">
        <w:rPr>
          <w:rFonts w:eastAsia="MS Mincho"/>
          <w:color w:val="FF0000"/>
          <w:lang w:val="en-GB" w:eastAsia="ja-JP"/>
        </w:rPr>
        <w:t>FCT</w:t>
      </w:r>
      <w:r w:rsidRPr="00D353F0">
        <w:rPr>
          <w:rFonts w:eastAsia="MS Mincho"/>
          <w:color w:val="FF0000"/>
          <w:lang w:val="en-GB" w:eastAsia="en-US"/>
        </w:rPr>
        <w:t>))</w:t>
      </w:r>
    </w:p>
    <w:p w14:paraId="0F0C7C62" w14:textId="77777777" w:rsidR="00BF00DD" w:rsidRPr="00D353F0" w:rsidRDefault="00FD54F3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 w:hint="eastAsia"/>
          <w:color w:val="FF0000"/>
          <w:lang w:val="en-GB" w:eastAsia="ja-JP"/>
        </w:rPr>
        <w:t>Elemental cross section divided by the sum of isotopic abundances of 47Ti and 48Ti.</w:t>
      </w:r>
    </w:p>
    <w:p w14:paraId="0F0C7C63" w14:textId="77777777" w:rsidR="00BF00DD" w:rsidRDefault="00BF00DD" w:rsidP="00EF2594">
      <w:pPr>
        <w:tabs>
          <w:tab w:val="left" w:pos="284"/>
        </w:tabs>
        <w:jc w:val="both"/>
        <w:rPr>
          <w:rFonts w:eastAsia="MS Mincho"/>
          <w:sz w:val="24"/>
          <w:szCs w:val="24"/>
          <w:lang w:val="en-GB" w:eastAsia="ja-JP"/>
        </w:rPr>
      </w:pPr>
    </w:p>
    <w:p w14:paraId="0F0C7C64" w14:textId="77777777" w:rsidR="00D353F0" w:rsidRPr="003E6395" w:rsidRDefault="00D353F0" w:rsidP="004A1F49">
      <w:pPr>
        <w:tabs>
          <w:tab w:val="left" w:pos="284"/>
        </w:tabs>
        <w:spacing w:after="120"/>
        <w:jc w:val="both"/>
        <w:rPr>
          <w:rFonts w:eastAsia="MS Mincho"/>
          <w:b/>
          <w:color w:val="FF0000"/>
          <w:sz w:val="24"/>
          <w:szCs w:val="24"/>
          <w:u w:val="single"/>
          <w:lang w:val="en-GB" w:eastAsia="ja-JP"/>
        </w:rPr>
      </w:pPr>
      <w:r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 xml:space="preserve">Sum of </w:t>
      </w:r>
      <w:r w:rsidR="003E6395"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 xml:space="preserve">Unresolved </w:t>
      </w:r>
      <w:r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>Partial Quantities</w:t>
      </w:r>
    </w:p>
    <w:p w14:paraId="0F0C7C65" w14:textId="77777777" w:rsidR="00D353F0" w:rsidRPr="00220FEB" w:rsidRDefault="00D353F0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When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the quantity is a sum of 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partial quantities wh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ose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secondary energies are unresolved (</w:t>
      </w:r>
      <w:r w:rsidRPr="00220FEB">
        <w:rPr>
          <w:rFonts w:eastAsia="MS Mincho" w:hint="eastAsia"/>
          <w:i/>
          <w:color w:val="FF0000"/>
          <w:sz w:val="24"/>
          <w:szCs w:val="24"/>
          <w:lang w:val="en-GB" w:eastAsia="ja-JP"/>
        </w:rPr>
        <w:t>e.g.,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due to detection resolution)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, it is coded as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an inclusive reaction 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quantity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(</w:t>
      </w:r>
      <w:r w:rsidR="003E6395" w:rsidRPr="00220FEB">
        <w:rPr>
          <w:rFonts w:eastAsia="MS Mincho" w:hint="eastAsia"/>
          <w:i/>
          <w:color w:val="FF0000"/>
          <w:sz w:val="24"/>
          <w:szCs w:val="24"/>
          <w:lang w:val="en-GB" w:eastAsia="ja-JP"/>
        </w:rPr>
        <w:t>i.e.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, SF3=</w:t>
      </w:r>
      <w:r w:rsidR="003E6395" w:rsidRPr="00220FEB">
        <w:rPr>
          <w:rFonts w:eastAsia="MS Mincho" w:hint="eastAsia"/>
          <w:color w:val="FF0000"/>
          <w:lang w:val="en-GB" w:eastAsia="ja-JP"/>
        </w:rPr>
        <w:t>X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).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</w:p>
    <w:p w14:paraId="0F0C7C66" w14:textId="77777777" w:rsidR="003E6395" w:rsidRPr="00220FEB" w:rsidRDefault="003E6395" w:rsidP="004A1F49">
      <w:pPr>
        <w:tabs>
          <w:tab w:val="left" w:pos="284"/>
        </w:tabs>
        <w:spacing w:after="12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Example:</w:t>
      </w:r>
    </w:p>
    <w:p w14:paraId="0F0C7C67" w14:textId="77777777" w:rsidR="003E6395" w:rsidRPr="003E6395" w:rsidRDefault="003E6395" w:rsidP="004A1F49">
      <w:pPr>
        <w:tabs>
          <w:tab w:val="left" w:pos="284"/>
        </w:tabs>
        <w:spacing w:after="120"/>
        <w:jc w:val="both"/>
        <w:rPr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412 keV gamma production from n+</w:t>
      </w:r>
      <w:r w:rsidRPr="00220FEB">
        <w:rPr>
          <w:rFonts w:eastAsia="MS Mincho" w:hint="eastAsia"/>
          <w:color w:val="FF0000"/>
          <w:sz w:val="24"/>
          <w:szCs w:val="24"/>
          <w:vertAlign w:val="superscript"/>
          <w:lang w:val="en-GB" w:eastAsia="ja-JP"/>
        </w:rPr>
        <w:t>nat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Fe reaction 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originated from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production of 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two unresolved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gamma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s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  <w:r w:rsidRPr="003E6395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54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Fe(n,n</w:t>
      </w:r>
      <w:r w:rsidRPr="003E6395">
        <w:rPr>
          <w:color w:val="FF0000"/>
          <w:sz w:val="24"/>
          <w:szCs w:val="24"/>
          <w:lang w:val="en-GB" w:eastAsia="ja-JP"/>
        </w:rPr>
        <w:t>’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)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54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 (411.5 keV</w:t>
      </w:r>
      <w:r w:rsidRPr="003E6395">
        <w:rPr>
          <w:color w:val="FF0000"/>
          <w:sz w:val="24"/>
          <w:szCs w:val="24"/>
          <w:lang w:val="en-GB" w:eastAsia="ja-JP"/>
        </w:rPr>
        <w:t xml:space="preserve">)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and 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56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Fe(n,2n)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55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</w:t>
      </w:r>
      <w:r w:rsidRPr="003E6395">
        <w:rPr>
          <w:color w:val="FF0000"/>
          <w:sz w:val="24"/>
          <w:szCs w:val="24"/>
          <w:lang w:val="en-GB" w:eastAsia="ja-JP"/>
        </w:rPr>
        <w:t xml:space="preserve">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(411.7 keV)</w:t>
      </w:r>
      <w:r w:rsidR="004A1F49">
        <w:rPr>
          <w:rFonts w:hint="eastAsia"/>
          <w:color w:val="FF0000"/>
          <w:sz w:val="24"/>
          <w:szCs w:val="24"/>
          <w:lang w:val="en-GB" w:eastAsia="ja-JP"/>
        </w:rPr>
        <w:t xml:space="preserve">,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 is coded by</w:t>
      </w:r>
    </w:p>
    <w:p w14:paraId="0F0C7C68" w14:textId="77777777" w:rsidR="003E6395" w:rsidRPr="003E6395" w:rsidRDefault="003E6395" w:rsidP="004A1F49">
      <w:pPr>
        <w:spacing w:after="120"/>
        <w:jc w:val="both"/>
        <w:rPr>
          <w:rFonts w:eastAsia="MS Mincho"/>
          <w:color w:val="FF0000"/>
          <w:lang w:val="fr-FR" w:eastAsia="ja-JP"/>
        </w:rPr>
      </w:pPr>
      <w:r w:rsidRPr="003E6395">
        <w:rPr>
          <w:rFonts w:eastAsia="MS Mincho"/>
          <w:color w:val="FF0000"/>
          <w:lang w:val="fr-FR" w:eastAsia="ja-JP"/>
        </w:rPr>
        <w:t>(26-FE-0(N,X)0-G-0,PAR,</w:t>
      </w:r>
      <w:r w:rsidRPr="003E6395">
        <w:rPr>
          <w:rFonts w:eastAsia="MS Mincho" w:hint="eastAsia"/>
          <w:color w:val="FF0000"/>
          <w:lang w:val="fr-FR" w:eastAsia="ja-JP"/>
        </w:rPr>
        <w:t>SIG</w:t>
      </w:r>
      <w:r w:rsidRPr="003E6395">
        <w:rPr>
          <w:rFonts w:eastAsia="MS Mincho"/>
          <w:color w:val="FF0000"/>
          <w:lang w:val="fr-FR" w:eastAsia="ja-JP"/>
        </w:rPr>
        <w:t>)</w:t>
      </w:r>
    </w:p>
    <w:p w14:paraId="0F0C7C69" w14:textId="77777777" w:rsidR="003E6395" w:rsidRPr="003E6395" w:rsidRDefault="004A1F49" w:rsidP="00CB677A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eastAsia="ja-JP"/>
        </w:rPr>
      </w:pPr>
      <w:r>
        <w:rPr>
          <w:rFonts w:eastAsia="MS Mincho" w:hint="eastAsia"/>
          <w:color w:val="FF0000"/>
          <w:sz w:val="24"/>
          <w:szCs w:val="24"/>
          <w:lang w:eastAsia="ja-JP"/>
        </w:rPr>
        <w:t>rather than</w:t>
      </w:r>
    </w:p>
    <w:p w14:paraId="0F0C7C6A" w14:textId="77777777" w:rsidR="003E6395" w:rsidRPr="003E6395" w:rsidRDefault="004A1F49" w:rsidP="00CB677A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eastAsia="ja-JP"/>
        </w:rPr>
      </w:pPr>
      <w:r>
        <w:rPr>
          <w:rFonts w:eastAsia="SimSun"/>
          <w:color w:val="FF0000"/>
          <w:kern w:val="1"/>
          <w:lang w:val="en-GB" w:eastAsia="hi-IN" w:bidi="hi-IN"/>
        </w:rPr>
        <w:t>(26-FE-54(N,INL)26-FE-54,PAR,</w:t>
      </w:r>
      <w:r>
        <w:rPr>
          <w:rFonts w:hint="eastAsia"/>
          <w:color w:val="FF0000"/>
          <w:kern w:val="1"/>
          <w:lang w:val="en-GB" w:eastAsia="ja-JP" w:bidi="hi-IN"/>
        </w:rPr>
        <w:t>SIG</w:t>
      </w:r>
      <w:r w:rsidR="003E6395" w:rsidRPr="003E6395">
        <w:rPr>
          <w:rFonts w:eastAsia="SimSun"/>
          <w:color w:val="FF0000"/>
          <w:kern w:val="1"/>
          <w:lang w:val="en-GB" w:eastAsia="hi-IN" w:bidi="hi-IN"/>
        </w:rPr>
        <w:t>,G,A)+(</w:t>
      </w:r>
      <w:r>
        <w:rPr>
          <w:rFonts w:eastAsia="SimSun"/>
          <w:color w:val="FF0000"/>
          <w:kern w:val="1"/>
          <w:lang w:val="en-GB" w:eastAsia="hi-IN" w:bidi="hi-IN"/>
        </w:rPr>
        <w:t>26-FE-56(N,2N)26-FE-55,PAR,</w:t>
      </w:r>
      <w:r>
        <w:rPr>
          <w:rFonts w:hint="eastAsia"/>
          <w:color w:val="FF0000"/>
          <w:kern w:val="1"/>
          <w:lang w:val="en-GB" w:eastAsia="ja-JP" w:bidi="hi-IN"/>
        </w:rPr>
        <w:t>SIG</w:t>
      </w:r>
      <w:r w:rsidR="003E6395" w:rsidRPr="003E6395">
        <w:rPr>
          <w:rFonts w:eastAsia="SimSun"/>
          <w:color w:val="FF0000"/>
          <w:kern w:val="1"/>
          <w:lang w:val="en-GB" w:eastAsia="hi-IN" w:bidi="hi-IN"/>
        </w:rPr>
        <w:t>,G,A)</w:t>
      </w:r>
    </w:p>
    <w:p w14:paraId="0F0C7C6B" w14:textId="77777777" w:rsidR="00262E1D" w:rsidRPr="00220FEB" w:rsidRDefault="00CB677A" w:rsidP="00CB677A">
      <w:pPr>
        <w:tabs>
          <w:tab w:val="left" w:pos="284"/>
        </w:tabs>
        <w:spacing w:before="24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The contributing </w:t>
      </w:r>
      <w:r w:rsidRPr="00220FEB">
        <w:rPr>
          <w:rFonts w:eastAsia="MS Mincho"/>
          <w:color w:val="FF0000"/>
          <w:sz w:val="24"/>
          <w:szCs w:val="24"/>
          <w:lang w:val="en-GB" w:eastAsia="ja-JP"/>
        </w:rPr>
        <w:t>process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="00AD41DB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is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explained under EN-SEC.</w:t>
      </w:r>
    </w:p>
    <w:p w14:paraId="0F0C7C6C" w14:textId="77777777" w:rsidR="00CB677A" w:rsidRPr="00220FEB" w:rsidRDefault="00CB677A" w:rsidP="00CB677A">
      <w:pPr>
        <w:tabs>
          <w:tab w:val="left" w:pos="284"/>
        </w:tabs>
        <w:spacing w:before="24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Example:</w:t>
      </w:r>
    </w:p>
    <w:p w14:paraId="0F0C7C6D" w14:textId="77777777" w:rsidR="00CB677A" w:rsidRPr="00CB677A" w:rsidRDefault="00CB677A" w:rsidP="00CB677A">
      <w:pPr>
        <w:tabs>
          <w:tab w:val="left" w:pos="284"/>
        </w:tabs>
        <w:jc w:val="both"/>
        <w:rPr>
          <w:rFonts w:eastAsia="MS Mincho"/>
          <w:color w:val="FF0000"/>
          <w:lang w:val="de-AT" w:eastAsia="ja-JP"/>
        </w:rPr>
      </w:pPr>
      <w:r w:rsidRPr="00220FEB">
        <w:rPr>
          <w:rFonts w:eastAsia="MS Mincho"/>
          <w:color w:val="FF0000"/>
          <w:lang w:val="de-AT" w:eastAsia="ja-JP"/>
        </w:rPr>
        <w:t xml:space="preserve">EN-SEC  (E,G)  411.5 keV gamma of </w:t>
      </w:r>
      <w:r w:rsidRPr="00220FEB">
        <w:rPr>
          <w:rFonts w:eastAsia="MS Mincho" w:hint="eastAsia"/>
          <w:color w:val="FF0000"/>
          <w:lang w:val="de-AT" w:eastAsia="ja-JP"/>
        </w:rPr>
        <w:t>54</w:t>
      </w:r>
      <w:r w:rsidRPr="00220FEB">
        <w:rPr>
          <w:rFonts w:eastAsia="MS Mincho"/>
          <w:color w:val="FF0000"/>
          <w:lang w:val="de-AT" w:eastAsia="ja-JP"/>
        </w:rPr>
        <w:t>Fe and 411.7 keV gamma of</w:t>
      </w:r>
      <w:r w:rsidRPr="00220FEB">
        <w:rPr>
          <w:rFonts w:eastAsia="MS Mincho" w:hint="eastAsia"/>
          <w:color w:val="FF0000"/>
          <w:lang w:val="de-AT" w:eastAsia="ja-JP"/>
        </w:rPr>
        <w:t xml:space="preserve"> 55</w:t>
      </w:r>
      <w:r w:rsidRPr="00220FEB">
        <w:rPr>
          <w:rFonts w:eastAsia="MS Mincho"/>
          <w:color w:val="FF0000"/>
          <w:lang w:val="de-AT" w:eastAsia="ja-JP"/>
        </w:rPr>
        <w:t>Fe, unresolved</w:t>
      </w:r>
    </w:p>
    <w:p w14:paraId="0F0C7C6E" w14:textId="77777777" w:rsidR="00CB677A" w:rsidRPr="003E6395" w:rsidRDefault="00CB677A" w:rsidP="00CB677A">
      <w:pPr>
        <w:tabs>
          <w:tab w:val="left" w:pos="284"/>
        </w:tabs>
        <w:jc w:val="both"/>
        <w:rPr>
          <w:rFonts w:eastAsia="MS Mincho" w:cs="Courier New"/>
          <w:b/>
          <w:sz w:val="24"/>
          <w:szCs w:val="24"/>
          <w:u w:val="single"/>
          <w:lang w:eastAsia="ja-JP"/>
        </w:rPr>
      </w:pPr>
    </w:p>
    <w:p w14:paraId="0F0C7C6F" w14:textId="77777777" w:rsidR="00262E1D" w:rsidRPr="00262E1D" w:rsidRDefault="00262E1D" w:rsidP="004A1F49">
      <w:pPr>
        <w:spacing w:after="120"/>
        <w:rPr>
          <w:rFonts w:eastAsia="MS Mincho"/>
          <w:b/>
          <w:sz w:val="24"/>
          <w:szCs w:val="24"/>
          <w:u w:val="single"/>
          <w:lang w:val="en-GB" w:eastAsia="ja-JP"/>
        </w:rPr>
      </w:pPr>
      <w:bookmarkStart w:id="11" w:name="_Toc268646302"/>
      <w:bookmarkStart w:id="12" w:name="_Toc268766854"/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Reactions to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S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ums of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I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someric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S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>tates</w:t>
      </w:r>
      <w:bookmarkEnd w:id="11"/>
      <w:bookmarkEnd w:id="12"/>
    </w:p>
    <w:p w14:paraId="0F0C7C70" w14:textId="77777777" w:rsidR="00262E1D" w:rsidRPr="00262E1D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Reactions to sums of isomeric states </w:t>
      </w:r>
      <w:r w:rsidRPr="00262E1D">
        <w:rPr>
          <w:rFonts w:eastAsia="MS Mincho" w:cs="Courier New"/>
          <w:sz w:val="24"/>
          <w:szCs w:val="24"/>
          <w:lang w:val="en-GB" w:eastAsia="en-US"/>
        </w:rPr>
        <w:t>are coded using the separator "</w:t>
      </w:r>
      <w:r w:rsidRPr="00262E1D">
        <w:rPr>
          <w:rFonts w:ascii="Courier New" w:eastAsia="MS Mincho" w:hAnsi="Courier New" w:cs="Courier New"/>
          <w:lang w:val="en-GB" w:eastAsia="en-US"/>
        </w:rPr>
        <w:t>+</w:t>
      </w:r>
      <w:r w:rsidRPr="00262E1D">
        <w:rPr>
          <w:rFonts w:eastAsia="MS Mincho" w:cs="Courier New"/>
          <w:sz w:val="24"/>
          <w:szCs w:val="24"/>
          <w:lang w:val="en-GB" w:eastAsia="en-US"/>
        </w:rPr>
        <w:t xml:space="preserve">" in the isomer field of the reaction product; see </w:t>
      </w:r>
      <w:r w:rsidRPr="00262E1D">
        <w:rPr>
          <w:rFonts w:eastAsia="MS Mincho" w:cs="Courier New"/>
          <w:b/>
          <w:sz w:val="24"/>
          <w:szCs w:val="24"/>
          <w:lang w:val="en-GB" w:eastAsia="en-US"/>
        </w:rPr>
        <w:t>Isomeric States</w:t>
      </w:r>
      <w:r w:rsidRPr="00262E1D">
        <w:rPr>
          <w:rFonts w:eastAsia="MS Mincho" w:cs="Courier New"/>
          <w:sz w:val="24"/>
          <w:szCs w:val="24"/>
          <w:lang w:val="en-GB" w:eastAsia="en-US"/>
        </w:rPr>
        <w:t>.</w:t>
      </w:r>
    </w:p>
    <w:p w14:paraId="0F0C7C71" w14:textId="77777777" w:rsidR="00262E1D" w:rsidRPr="00262E1D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lang w:val="fr-FR" w:eastAsia="en-US"/>
        </w:rPr>
      </w:pPr>
      <w:r w:rsidRPr="00262E1D">
        <w:rPr>
          <w:rFonts w:eastAsia="MS Mincho" w:cs="Courier New"/>
          <w:b/>
          <w:i/>
          <w:sz w:val="24"/>
          <w:szCs w:val="24"/>
          <w:lang w:val="fr-FR" w:eastAsia="en-US"/>
        </w:rPr>
        <w:t>Example</w:t>
      </w:r>
      <w:r w:rsidRPr="00262E1D">
        <w:rPr>
          <w:rFonts w:eastAsia="MS Mincho" w:cs="Courier New"/>
          <w:sz w:val="24"/>
          <w:szCs w:val="24"/>
          <w:lang w:val="fr-FR" w:eastAsia="en-US"/>
        </w:rPr>
        <w:t>:</w:t>
      </w:r>
      <w:r w:rsidRPr="00262E1D">
        <w:rPr>
          <w:rFonts w:eastAsia="MS Mincho" w:cs="Courier New"/>
          <w:sz w:val="24"/>
          <w:szCs w:val="24"/>
          <w:lang w:val="fr-FR" w:eastAsia="ja-JP"/>
        </w:rPr>
        <w:tab/>
      </w:r>
      <w:r w:rsidRPr="00D353F0">
        <w:rPr>
          <w:rFonts w:eastAsia="MS Mincho"/>
          <w:lang w:val="fr-FR" w:eastAsia="en-US"/>
        </w:rPr>
        <w:t>(…(P,X)39-Y-102-M1+M2</w:t>
      </w:r>
      <w:r w:rsidR="00D353F0" w:rsidRPr="00D353F0">
        <w:rPr>
          <w:rFonts w:eastAsia="MS Mincho"/>
          <w:color w:val="FF0000"/>
          <w:lang w:val="fr-FR" w:eastAsia="ja-JP"/>
        </w:rPr>
        <w:t>,</w:t>
      </w:r>
      <w:r w:rsidR="00D353F0">
        <w:rPr>
          <w:rFonts w:eastAsia="MS Mincho" w:hint="eastAsia"/>
          <w:color w:val="FF0000"/>
          <w:lang w:val="fr-FR" w:eastAsia="ja-JP"/>
        </w:rPr>
        <w:t>,SIG</w:t>
      </w:r>
      <w:r w:rsidRPr="00D353F0">
        <w:rPr>
          <w:rFonts w:eastAsia="MS Mincho"/>
          <w:lang w:val="fr-FR" w:eastAsia="en-US"/>
        </w:rPr>
        <w:t>)</w:t>
      </w:r>
    </w:p>
    <w:p w14:paraId="0F0C7C72" w14:textId="77777777" w:rsidR="00262E1D" w:rsidRPr="00262E1D" w:rsidRDefault="00262E1D" w:rsidP="004A1F49">
      <w:pPr>
        <w:spacing w:after="120"/>
        <w:ind w:left="723" w:hangingChars="300" w:hanging="723"/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b/>
          <w:i/>
          <w:sz w:val="24"/>
          <w:szCs w:val="24"/>
          <w:lang w:val="en-GB" w:eastAsia="en-US"/>
        </w:rPr>
        <w:t>Note</w:t>
      </w:r>
      <w:r w:rsidRPr="00262E1D">
        <w:rPr>
          <w:rFonts w:eastAsia="MS Mincho" w:cs="Courier New"/>
          <w:sz w:val="24"/>
          <w:szCs w:val="24"/>
          <w:lang w:val="en-GB" w:eastAsia="en-US"/>
        </w:rPr>
        <w:t xml:space="preserve">:  </w:t>
      </w: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 </w:t>
      </w:r>
      <w:r w:rsidRPr="00262E1D">
        <w:rPr>
          <w:rFonts w:eastAsia="MS Mincho" w:cs="Courier New"/>
          <w:sz w:val="24"/>
          <w:szCs w:val="24"/>
          <w:lang w:val="en-GB" w:eastAsia="en-US"/>
        </w:rPr>
        <w:t>If the sum of all isomeric reactions is equal to the cross section for the given nuclide, it is coded without the isomer field.</w:t>
      </w:r>
    </w:p>
    <w:p w14:paraId="0F0C7C73" w14:textId="77777777" w:rsidR="00D353F0" w:rsidRPr="00262E1D" w:rsidRDefault="00D353F0" w:rsidP="004A1F49">
      <w:pPr>
        <w:spacing w:after="120"/>
        <w:jc w:val="both"/>
        <w:rPr>
          <w:rFonts w:eastAsia="MS Mincho" w:cs="Courier New"/>
          <w:sz w:val="24"/>
          <w:szCs w:val="24"/>
          <w:lang w:val="en-GB" w:eastAsia="ja-JP"/>
        </w:rPr>
      </w:pPr>
      <w:r w:rsidRPr="00D353F0">
        <w:rPr>
          <w:rFonts w:eastAsia="MS Mincho" w:cs="Courier New" w:hint="eastAsia"/>
          <w:b/>
          <w:i/>
          <w:sz w:val="24"/>
          <w:szCs w:val="24"/>
          <w:lang w:val="en-GB" w:eastAsia="ja-JP"/>
        </w:rPr>
        <w:t>Example:</w:t>
      </w:r>
      <w:r>
        <w:rPr>
          <w:rFonts w:eastAsia="MS Mincho" w:cs="Courier New" w:hint="eastAsia"/>
          <w:sz w:val="24"/>
          <w:szCs w:val="24"/>
          <w:lang w:val="en-GB" w:eastAsia="ja-JP"/>
        </w:rPr>
        <w:tab/>
      </w:r>
      <w:r w:rsidRPr="00D353F0">
        <w:rPr>
          <w:rFonts w:eastAsia="MS Mincho"/>
          <w:lang w:val="en-GB" w:eastAsia="ja-JP"/>
        </w:rPr>
        <w:t>(…(P,X)47-AG-109</w:t>
      </w:r>
      <w:r w:rsidRPr="00D353F0">
        <w:rPr>
          <w:rFonts w:eastAsia="MS Mincho"/>
          <w:color w:val="FF0000"/>
          <w:lang w:val="en-GB" w:eastAsia="ja-JP"/>
        </w:rPr>
        <w:t>,</w:t>
      </w:r>
      <w:r>
        <w:rPr>
          <w:rFonts w:eastAsia="MS Mincho" w:hint="eastAsia"/>
          <w:color w:val="FF0000"/>
          <w:lang w:val="en-GB" w:eastAsia="ja-JP"/>
        </w:rPr>
        <w:t>,SIG</w:t>
      </w:r>
      <w:r w:rsidRPr="00D353F0">
        <w:rPr>
          <w:rFonts w:eastAsia="MS Mincho"/>
          <w:lang w:val="en-GB" w:eastAsia="ja-JP"/>
        </w:rPr>
        <w:t>)</w:t>
      </w:r>
    </w:p>
    <w:p w14:paraId="0F0C7C74" w14:textId="77777777" w:rsidR="00262E1D" w:rsidRPr="00262E1D" w:rsidRDefault="00262E1D" w:rsidP="004A1F49">
      <w:pPr>
        <w:spacing w:after="120"/>
        <w:jc w:val="both"/>
        <w:rPr>
          <w:rFonts w:ascii="Courier New" w:eastAsia="MS Mincho" w:hAnsi="Courier New" w:cs="Courier New"/>
          <w:lang w:val="en-GB" w:eastAsia="ja-JP"/>
        </w:rPr>
      </w:pPr>
      <w:r w:rsidRPr="00262E1D">
        <w:rPr>
          <w:rFonts w:eastAsia="MS Mincho" w:cs="Courier New"/>
          <w:b/>
          <w:i/>
          <w:sz w:val="24"/>
          <w:szCs w:val="24"/>
          <w:lang w:val="en-GB" w:eastAsia="ja-JP"/>
        </w:rPr>
        <w:t>Forbidden:</w:t>
      </w:r>
      <w:r w:rsidRPr="00262E1D">
        <w:rPr>
          <w:rFonts w:ascii="Courier New" w:eastAsia="MS Mincho" w:hAnsi="Courier New" w:cs="Courier New"/>
          <w:sz w:val="24"/>
          <w:szCs w:val="24"/>
          <w:lang w:val="en-GB" w:eastAsia="ja-JP"/>
        </w:rPr>
        <w:tab/>
      </w:r>
      <w:r w:rsidR="00D353F0" w:rsidRPr="00D353F0">
        <w:rPr>
          <w:rFonts w:eastAsia="MS Mincho"/>
          <w:lang w:val="en-GB" w:eastAsia="ja-JP"/>
        </w:rPr>
        <w:t>(…(P,X)47-AG-109-G+M</w:t>
      </w:r>
      <w:r w:rsidR="00D353F0" w:rsidRPr="00D353F0">
        <w:rPr>
          <w:rFonts w:eastAsia="MS Mincho"/>
          <w:color w:val="FF0000"/>
          <w:lang w:val="en-GB" w:eastAsia="ja-JP"/>
        </w:rPr>
        <w:t>,</w:t>
      </w:r>
      <w:r w:rsidR="00D353F0" w:rsidRPr="00D353F0">
        <w:rPr>
          <w:rFonts w:eastAsia="MS Mincho" w:hint="eastAsia"/>
          <w:color w:val="FF0000"/>
          <w:lang w:val="en-GB" w:eastAsia="ja-JP"/>
        </w:rPr>
        <w:t>,SIG</w:t>
      </w:r>
      <w:r w:rsidRPr="00D353F0">
        <w:rPr>
          <w:rFonts w:eastAsia="MS Mincho"/>
          <w:lang w:val="en-GB" w:eastAsia="ja-JP"/>
        </w:rPr>
        <w:t>)</w:t>
      </w:r>
    </w:p>
    <w:p w14:paraId="0F0C7C75" w14:textId="77777777" w:rsidR="00262E1D" w:rsidRPr="00262E1D" w:rsidRDefault="00262E1D" w:rsidP="00262E1D">
      <w:pPr>
        <w:rPr>
          <w:sz w:val="24"/>
          <w:szCs w:val="24"/>
          <w:lang w:val="en-GB" w:eastAsia="ja-JP"/>
        </w:rPr>
      </w:pPr>
    </w:p>
    <w:sectPr w:rsidR="00262E1D" w:rsidRPr="00262E1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7C78" w14:textId="77777777" w:rsidR="00C071C2" w:rsidRDefault="00C071C2">
      <w:r>
        <w:separator/>
      </w:r>
    </w:p>
  </w:endnote>
  <w:endnote w:type="continuationSeparator" w:id="0">
    <w:p w14:paraId="0F0C7C79" w14:textId="77777777" w:rsidR="00C071C2" w:rsidRDefault="00C0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7C76" w14:textId="77777777" w:rsidR="00C071C2" w:rsidRDefault="00C071C2">
      <w:r>
        <w:separator/>
      </w:r>
    </w:p>
  </w:footnote>
  <w:footnote w:type="continuationSeparator" w:id="0">
    <w:p w14:paraId="0F0C7C77" w14:textId="77777777" w:rsidR="00C071C2" w:rsidRDefault="00C0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1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0"/>
  </w:num>
  <w:num w:numId="5">
    <w:abstractNumId w:val="21"/>
  </w:num>
  <w:num w:numId="6">
    <w:abstractNumId w:val="33"/>
  </w:num>
  <w:num w:numId="7">
    <w:abstractNumId w:val="43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2"/>
  </w:num>
  <w:num w:numId="13">
    <w:abstractNumId w:val="39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4"/>
  </w:num>
  <w:num w:numId="33">
    <w:abstractNumId w:val="19"/>
  </w:num>
  <w:num w:numId="34">
    <w:abstractNumId w:val="24"/>
  </w:num>
  <w:num w:numId="35">
    <w:abstractNumId w:val="15"/>
  </w:num>
  <w:num w:numId="36">
    <w:abstractNumId w:val="34"/>
  </w:num>
  <w:num w:numId="37">
    <w:abstractNumId w:val="42"/>
  </w:num>
  <w:num w:numId="38">
    <w:abstractNumId w:val="41"/>
  </w:num>
  <w:num w:numId="39">
    <w:abstractNumId w:val="25"/>
  </w:num>
  <w:num w:numId="40">
    <w:abstractNumId w:val="36"/>
  </w:num>
  <w:num w:numId="41">
    <w:abstractNumId w:val="37"/>
  </w:num>
  <w:num w:numId="42">
    <w:abstractNumId w:val="35"/>
  </w:num>
  <w:num w:numId="43">
    <w:abstractNumId w:val="28"/>
  </w:num>
  <w:num w:numId="44">
    <w:abstractNumId w:val="38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D54F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BF0"/>
  <w15:docId w15:val="{1ECA12F6-0A0D-4372-B75C-544A304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ds.iaea.org/nrdc/all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BF7B-3741-42EA-9AED-97E74FA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6092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2018-03-16T16:38:00Z</cp:lastPrinted>
  <dcterms:created xsi:type="dcterms:W3CDTF">2018-08-26T11:44:00Z</dcterms:created>
  <dcterms:modified xsi:type="dcterms:W3CDTF">2018-11-09T13:51:00Z</dcterms:modified>
</cp:coreProperties>
</file>