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C45E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6B20B0A9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103</w:t>
      </w:r>
      <w:r w:rsidR="00DF3A30">
        <w:rPr>
          <w:rFonts w:eastAsia="MS Mincho"/>
          <w:b/>
          <w:sz w:val="24"/>
          <w:szCs w:val="24"/>
          <w:u w:val="single"/>
          <w:lang w:val="en-GB"/>
        </w:rPr>
        <w:t>8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71147C11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EF53E8">
        <w:rPr>
          <w:rFonts w:eastAsia="MS Mincho"/>
          <w:sz w:val="24"/>
          <w:szCs w:val="24"/>
          <w:lang w:val="en-GB"/>
        </w:rPr>
        <w:t>1</w:t>
      </w:r>
      <w:r w:rsidR="0049210E">
        <w:rPr>
          <w:rFonts w:eastAsia="MS Mincho"/>
          <w:sz w:val="24"/>
          <w:szCs w:val="24"/>
          <w:lang w:val="en-GB"/>
        </w:rPr>
        <w:t>9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584BA4">
        <w:rPr>
          <w:rFonts w:eastAsia="MS Mincho"/>
          <w:sz w:val="24"/>
          <w:szCs w:val="24"/>
          <w:lang w:val="en-GB"/>
        </w:rPr>
        <w:t>January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1D1BE7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45D72A4E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>N. Otsuka</w:t>
      </w:r>
      <w:r w:rsidR="00EF53E8">
        <w:rPr>
          <w:rFonts w:eastAsia="MS Mincho"/>
          <w:snapToGrid w:val="0"/>
          <w:sz w:val="24"/>
          <w:szCs w:val="24"/>
          <w:lang w:val="en-GB" w:eastAsia="ja-JP"/>
        </w:rPr>
        <w:t>, S. Dunaeva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1DF933E7" w:rsid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EF53E8">
        <w:rPr>
          <w:rFonts w:eastAsia="MS Mincho"/>
          <w:b/>
          <w:sz w:val="24"/>
          <w:szCs w:val="24"/>
          <w:lang w:val="en-GB"/>
        </w:rPr>
        <w:t>Usage</w:t>
      </w:r>
      <w:r w:rsidR="00DF3A30">
        <w:rPr>
          <w:rFonts w:eastAsia="MS Mincho"/>
          <w:b/>
          <w:sz w:val="24"/>
          <w:szCs w:val="24"/>
          <w:lang w:val="en-GB"/>
        </w:rPr>
        <w:t xml:space="preserve"> of ERR-HL and ERR-IDD</w:t>
      </w:r>
    </w:p>
    <w:p w14:paraId="1BDE1813" w14:textId="77777777" w:rsidR="00131F07" w:rsidRDefault="00131F07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</w:p>
    <w:p w14:paraId="03D51E8C" w14:textId="75CA63D3" w:rsidR="00131F07" w:rsidRDefault="00403734" w:rsidP="009F12CD">
      <w:pPr>
        <w:tabs>
          <w:tab w:val="left" w:pos="993"/>
        </w:tabs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T</w:t>
      </w:r>
      <w:r w:rsidR="002D5B33">
        <w:rPr>
          <w:rFonts w:eastAsia="MS Mincho"/>
          <w:snapToGrid w:val="0"/>
          <w:sz w:val="24"/>
          <w:lang w:val="en-GB" w:eastAsia="ja-JP"/>
        </w:rPr>
        <w:t xml:space="preserve">he uncertainty in a decay parameter </w:t>
      </w:r>
      <w:r w:rsidR="00F27257">
        <w:rPr>
          <w:rFonts w:eastAsia="MS Mincho"/>
          <w:snapToGrid w:val="0"/>
          <w:sz w:val="24"/>
          <w:lang w:val="en-GB" w:eastAsia="ja-JP"/>
        </w:rPr>
        <w:t xml:space="preserve">(e.g., gamma intensity, half-life) </w:t>
      </w:r>
      <w:r w:rsidR="002D5B33">
        <w:rPr>
          <w:rFonts w:eastAsia="MS Mincho"/>
          <w:snapToGrid w:val="0"/>
          <w:sz w:val="24"/>
          <w:lang w:val="en-GB" w:eastAsia="ja-JP"/>
        </w:rPr>
        <w:t>is</w:t>
      </w:r>
      <w:r>
        <w:rPr>
          <w:rFonts w:eastAsia="MS Mincho"/>
          <w:snapToGrid w:val="0"/>
          <w:sz w:val="24"/>
          <w:lang w:val="en-GB" w:eastAsia="ja-JP"/>
        </w:rPr>
        <w:t xml:space="preserve"> sometimes</w:t>
      </w:r>
      <w:r w:rsidR="002D5B33">
        <w:rPr>
          <w:rFonts w:eastAsia="MS Mincho"/>
          <w:snapToGrid w:val="0"/>
          <w:sz w:val="24"/>
          <w:lang w:val="en-GB" w:eastAsia="ja-JP"/>
        </w:rPr>
        <w:t xml:space="preserve"> coded under </w:t>
      </w:r>
      <w:r w:rsidR="002D5B33" w:rsidRPr="00017302">
        <w:rPr>
          <w:rFonts w:eastAsia="MS Mincho"/>
          <w:snapToGrid w:val="0"/>
          <w:lang w:val="en-GB" w:eastAsia="ja-JP"/>
        </w:rPr>
        <w:t>ERR-HL</w:t>
      </w:r>
      <w:r w:rsidR="002D5B33">
        <w:rPr>
          <w:rFonts w:eastAsia="MS Mincho"/>
          <w:snapToGrid w:val="0"/>
          <w:sz w:val="24"/>
          <w:lang w:val="en-GB" w:eastAsia="ja-JP"/>
        </w:rPr>
        <w:t xml:space="preserve"> or </w:t>
      </w:r>
      <w:r w:rsidR="002D5B33" w:rsidRPr="00017302">
        <w:rPr>
          <w:rFonts w:eastAsia="MS Mincho"/>
          <w:snapToGrid w:val="0"/>
          <w:lang w:val="en-GB" w:eastAsia="ja-JP"/>
        </w:rPr>
        <w:t>ERR-I</w:t>
      </w:r>
      <w:r w:rsidR="00F6153E" w:rsidRPr="00017302">
        <w:rPr>
          <w:rFonts w:eastAsia="MS Mincho"/>
          <w:snapToGrid w:val="0"/>
          <w:lang w:val="en-GB" w:eastAsia="ja-JP"/>
        </w:rPr>
        <w:t>D</w:t>
      </w:r>
      <w:r w:rsidR="002D5B33" w:rsidRPr="00017302">
        <w:rPr>
          <w:rFonts w:eastAsia="MS Mincho"/>
          <w:snapToGrid w:val="0"/>
          <w:lang w:val="en-GB" w:eastAsia="ja-JP"/>
        </w:rPr>
        <w:t>D</w:t>
      </w:r>
      <w:r w:rsidR="002D5B33">
        <w:rPr>
          <w:rFonts w:eastAsia="MS Mincho"/>
          <w:snapToGrid w:val="0"/>
          <w:sz w:val="24"/>
          <w:lang w:val="en-GB" w:eastAsia="ja-JP"/>
        </w:rPr>
        <w:t xml:space="preserve"> even if the uncertainty propagated to the cross section is coded </w:t>
      </w:r>
      <w:r w:rsidR="00FB254C">
        <w:rPr>
          <w:rFonts w:eastAsia="MS Mincho"/>
          <w:snapToGrid w:val="0"/>
          <w:sz w:val="24"/>
          <w:lang w:val="en-GB" w:eastAsia="ja-JP"/>
        </w:rPr>
        <w:t>as a partial uncertainty</w:t>
      </w:r>
      <w:r w:rsidR="002D5B33">
        <w:rPr>
          <w:rFonts w:eastAsia="MS Mincho"/>
          <w:snapToGrid w:val="0"/>
          <w:sz w:val="24"/>
          <w:lang w:val="en-GB" w:eastAsia="ja-JP"/>
        </w:rPr>
        <w:t xml:space="preserve"> under ERR-1 etc. </w:t>
      </w:r>
      <w:r w:rsidR="00D57720">
        <w:rPr>
          <w:rFonts w:eastAsia="MS Mincho"/>
          <w:snapToGrid w:val="0"/>
          <w:sz w:val="24"/>
          <w:lang w:val="en-GB" w:eastAsia="ja-JP"/>
        </w:rPr>
        <w:t xml:space="preserve">This </w:t>
      </w:r>
      <w:r w:rsidR="00F27257">
        <w:rPr>
          <w:rFonts w:eastAsia="MS Mincho"/>
          <w:snapToGrid w:val="0"/>
          <w:sz w:val="24"/>
          <w:lang w:val="en-GB" w:eastAsia="ja-JP"/>
        </w:rPr>
        <w:t xml:space="preserve">could </w:t>
      </w:r>
      <w:r w:rsidR="00D57720">
        <w:rPr>
          <w:rFonts w:eastAsia="MS Mincho"/>
          <w:snapToGrid w:val="0"/>
          <w:sz w:val="24"/>
          <w:lang w:val="en-GB" w:eastAsia="ja-JP"/>
        </w:rPr>
        <w:t xml:space="preserve">introduce double counting of the same uncertainty and should be avoided. </w:t>
      </w:r>
    </w:p>
    <w:p w14:paraId="49C73A99" w14:textId="77777777" w:rsidR="000F19C1" w:rsidRDefault="000F19C1" w:rsidP="000F19C1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</w:p>
    <w:p w14:paraId="27F5FE8C" w14:textId="6606FC42" w:rsidR="009F6766" w:rsidRDefault="00131F07" w:rsidP="000F19C1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  <w:r w:rsidRPr="00E6225F">
        <w:rPr>
          <w:rFonts w:ascii="Courier New" w:eastAsia="Times New Roman" w:hAnsi="Courier New" w:cs="Courier New"/>
          <w:i/>
          <w:iCs/>
          <w:noProof/>
          <w:color w:val="000000"/>
          <w:lang w:val="en-GB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73B" wp14:editId="58ACA2C5">
                <wp:simplePos x="0" y="0"/>
                <wp:positionH relativeFrom="column">
                  <wp:posOffset>57150</wp:posOffset>
                </wp:positionH>
                <wp:positionV relativeFrom="paragraph">
                  <wp:posOffset>356235</wp:posOffset>
                </wp:positionV>
                <wp:extent cx="557212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FB36" w14:textId="368367AC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SUBENT        23267004   20150801</w:t>
                            </w:r>
                          </w:p>
                          <w:p w14:paraId="4DCD203B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BIB                  7         27</w:t>
                            </w:r>
                          </w:p>
                          <w:p w14:paraId="515A5A90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REACTION  1(76-OS-190(N,G)76-OS-191,,SIG,,SPA)</w:t>
                            </w:r>
                          </w:p>
                          <w:p w14:paraId="1E26A8FF" w14:textId="37F7D35A" w:rsidR="00DE5F2E" w:rsidRPr="00403734" w:rsidRDefault="00DE5F2E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3734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en-GB"/>
                              </w:rPr>
                              <w:t>…</w:t>
                            </w:r>
                          </w:p>
                          <w:p w14:paraId="1F18EB63" w14:textId="01EA8CC2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DECAY-DATA (76-OS-191-G,15.4D,DG,129.4,0.2650)</w:t>
                            </w:r>
                          </w:p>
                          <w:p w14:paraId="1A0AF45B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314D1429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ERR-ANALYS (ERR-T) Total uncertainty.</w:t>
                            </w:r>
                          </w:p>
                          <w:p w14:paraId="750B3F36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Sources of uncertainties:</w:t>
                            </w:r>
                          </w:p>
                          <w:p w14:paraId="4B84DE0C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      Isotopic abundance - negligible</w:t>
                            </w:r>
                          </w:p>
                          <w:p w14:paraId="43474DB2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(ERR-2) Detector efficiency</w:t>
                            </w:r>
                          </w:p>
                          <w:p w14:paraId="217C8F9D" w14:textId="77777777" w:rsidR="00131F07" w:rsidRPr="00C21981" w:rsidRDefault="00131F07" w:rsidP="00131F07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1981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(ERR-3) Gamma-ray intensity</w:t>
                            </w:r>
                          </w:p>
                          <w:p w14:paraId="429E4DBB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(ERR-4,0.10,0.20) Gamma-ray self-absorption</w:t>
                            </w:r>
                          </w:p>
                          <w:p w14:paraId="4E18D4A7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(ERR-5,0.07,0.12) Time factor fb</w:t>
                            </w:r>
                          </w:p>
                          <w:p w14:paraId="29A2DCB7" w14:textId="77777777" w:rsidR="00131F07" w:rsidRPr="00C21981" w:rsidRDefault="00131F07" w:rsidP="00131F07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21981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(ERR-6) Half-life</w:t>
                            </w:r>
                          </w:p>
                          <w:p w14:paraId="67FA2E59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(ERR-S,0.14,0.22) Counting statistics</w:t>
                            </w:r>
                          </w:p>
                          <w:p w14:paraId="03D0EC52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(ERR-7) Stoichiometry.</w:t>
                            </w:r>
                          </w:p>
                          <w:p w14:paraId="0106AD0E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STATUS     (TABLE)  Tables V(data),VI(uncertainties) of</w:t>
                            </w:r>
                          </w:p>
                          <w:p w14:paraId="7829AC74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PR/C,90,065801,2014.</w:t>
                            </w:r>
                          </w:p>
                          <w:p w14:paraId="71C9CB16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ENDBIB              27</w:t>
                            </w:r>
                          </w:p>
                          <w:p w14:paraId="6580F46A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>COMMON               8          6</w:t>
                            </w:r>
                          </w:p>
                          <w:p w14:paraId="1F2D763A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EN-MEAN    EN-MAX     ERR-2      </w:t>
                            </w:r>
                            <w:r w:rsidRPr="00EF53E8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ERR-3 </w:t>
                            </w: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    </w:t>
                            </w:r>
                            <w:r w:rsidRPr="00C21981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ERR-6</w:t>
                            </w: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  <w:lang w:val="de-DE"/>
                              </w:rPr>
                              <w:t xml:space="preserve">      ERR-7</w:t>
                            </w:r>
                          </w:p>
                          <w:p w14:paraId="2E1D623E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C21981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ERR-HL</w:t>
                            </w: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C21981">
                              <w:rPr>
                                <w:rFonts w:ascii="Courier New" w:hAnsi="Courier New" w:cs="Courier New"/>
                                <w:b/>
                                <w:bCs/>
                                <w:sz w:val="18"/>
                                <w:szCs w:val="18"/>
                              </w:rPr>
                              <w:t>ERR-IDD</w:t>
                            </w:r>
                          </w:p>
                          <w:p w14:paraId="384EAFD4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KEV        KEV        PER-CENT   PER-CENT   PER-CENT   PER-CENT</w:t>
                            </w:r>
                          </w:p>
                          <w:p w14:paraId="3DBC208C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D          NO-DIM</w:t>
                            </w:r>
                          </w:p>
                          <w:p w14:paraId="75396E1A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25.        106.      2.00        0.15       0.65       3.13</w:t>
                            </w:r>
                          </w:p>
                          <w:p w14:paraId="3741D415" w14:textId="77777777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0.1       0.0004</w:t>
                            </w:r>
                          </w:p>
                          <w:p w14:paraId="1D3D3B15" w14:textId="5514C24D" w:rsid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131F07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ENDCOMMON            6</w:t>
                            </w:r>
                          </w:p>
                          <w:p w14:paraId="186EEC33" w14:textId="353CA67F" w:rsidR="00131F07" w:rsidRPr="00131F07" w:rsidRDefault="00131F07" w:rsidP="00131F07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49F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8.05pt;width:43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">
                <v:textbox style="mso-fit-shape-to-text:t">
                  <w:txbxContent>
                    <w:p w14:paraId="59D7FB36" w14:textId="368367AC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SUBENT        23267004   20150801</w:t>
                      </w:r>
                    </w:p>
                    <w:p w14:paraId="4DCD203B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BIB                  7         27</w:t>
                      </w:r>
                    </w:p>
                    <w:p w14:paraId="515A5A90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REACTION  1(76-OS-190(N,G)76-OS-191,,SIG,,SPA)</w:t>
                      </w:r>
                    </w:p>
                    <w:p w14:paraId="1E26A8FF" w14:textId="37F7D35A" w:rsidR="00DE5F2E" w:rsidRPr="00403734" w:rsidRDefault="00DE5F2E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en-GB"/>
                        </w:rPr>
                      </w:pPr>
                      <w:r w:rsidRPr="00403734">
                        <w:rPr>
                          <w:rFonts w:ascii="Courier New" w:hAnsi="Courier New" w:cs="Courier New"/>
                          <w:sz w:val="18"/>
                          <w:szCs w:val="18"/>
                          <w:lang w:val="en-GB"/>
                        </w:rPr>
                        <w:t>…</w:t>
                      </w:r>
                    </w:p>
                    <w:p w14:paraId="1F18EB63" w14:textId="01EA8CC2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DECAY-DATA (76-OS-191-G,15.4D,DG,129.4,0.2650)</w:t>
                      </w:r>
                    </w:p>
                    <w:p w14:paraId="1A0AF45B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…</w:t>
                      </w:r>
                    </w:p>
                    <w:p w14:paraId="314D1429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ERR-ANALYS (ERR-T) Total uncertainty.</w:t>
                      </w:r>
                    </w:p>
                    <w:p w14:paraId="750B3F36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Sources of uncertainties:</w:t>
                      </w:r>
                    </w:p>
                    <w:p w14:paraId="4B84DE0C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      Isotopic abundance - negligible</w:t>
                      </w:r>
                    </w:p>
                    <w:p w14:paraId="43474DB2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(ERR-2) Detector efficiency</w:t>
                      </w:r>
                    </w:p>
                    <w:p w14:paraId="217C8F9D" w14:textId="77777777" w:rsidR="00131F07" w:rsidRPr="00C21981" w:rsidRDefault="00131F07" w:rsidP="00131F07">
                      <w:pPr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</w:pPr>
                      <w:r w:rsidRPr="00C21981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  <w:t xml:space="preserve">           (ERR-3) Gamma-ray intensity</w:t>
                      </w:r>
                    </w:p>
                    <w:p w14:paraId="429E4DBB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(ERR-4,0.10,0.20) Gamma-ray self-absorption</w:t>
                      </w:r>
                    </w:p>
                    <w:p w14:paraId="4E18D4A7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(ERR-5,0.07,0.12) Time factor fb</w:t>
                      </w:r>
                    </w:p>
                    <w:p w14:paraId="29A2DCB7" w14:textId="77777777" w:rsidR="00131F07" w:rsidRPr="00C21981" w:rsidRDefault="00131F07" w:rsidP="00131F07">
                      <w:pPr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</w:t>
                      </w:r>
                      <w:r w:rsidRPr="00C21981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  <w:t>(ERR-6) Half-life</w:t>
                      </w:r>
                    </w:p>
                    <w:p w14:paraId="67FA2E59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(ERR-S,0.14,0.22) Counting statistics</w:t>
                      </w:r>
                    </w:p>
                    <w:p w14:paraId="03D0EC52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(ERR-7) Stoichiometry.</w:t>
                      </w:r>
                    </w:p>
                    <w:p w14:paraId="0106AD0E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STATUS     (TABLE)  Tables V(data),VI(uncertainties) of</w:t>
                      </w:r>
                    </w:p>
                    <w:p w14:paraId="7829AC74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</w:t>
                      </w: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PR/C,90,065801,2014.</w:t>
                      </w:r>
                    </w:p>
                    <w:p w14:paraId="71C9CB16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ENDBIB              27</w:t>
                      </w:r>
                    </w:p>
                    <w:p w14:paraId="6580F46A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>COMMON               8          6</w:t>
                      </w:r>
                    </w:p>
                    <w:p w14:paraId="1F2D763A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EN-MEAN    EN-MAX     ERR-2      </w:t>
                      </w:r>
                      <w:r w:rsidRPr="00EF53E8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ERR-3 </w:t>
                      </w: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    </w:t>
                      </w:r>
                      <w:r w:rsidRPr="00C21981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  <w:lang w:val="de-DE"/>
                        </w:rPr>
                        <w:t>ERR-6</w:t>
                      </w: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  <w:lang w:val="de-DE"/>
                        </w:rPr>
                        <w:t xml:space="preserve">      ERR-7</w:t>
                      </w:r>
                    </w:p>
                    <w:p w14:paraId="2E1D623E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C21981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  <w:t>ERR-HL</w:t>
                      </w: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</w:t>
                      </w:r>
                      <w:r w:rsidRPr="00C21981">
                        <w:rPr>
                          <w:rFonts w:ascii="Courier New" w:hAnsi="Courier New" w:cs="Courier New"/>
                          <w:b/>
                          <w:bCs/>
                          <w:sz w:val="18"/>
                          <w:szCs w:val="18"/>
                        </w:rPr>
                        <w:t>ERR-IDD</w:t>
                      </w:r>
                    </w:p>
                    <w:p w14:paraId="384EAFD4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KEV        KEV        PER-CENT   PER-CENT   PER-CENT   PER-CENT</w:t>
                      </w:r>
                    </w:p>
                    <w:p w14:paraId="3DBC208C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D          NO-DIM</w:t>
                      </w:r>
                    </w:p>
                    <w:p w14:paraId="75396E1A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25.        106.      2.00        0.15       0.65       3.13</w:t>
                      </w:r>
                    </w:p>
                    <w:p w14:paraId="3741D415" w14:textId="77777777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0.1       0.0004</w:t>
                      </w:r>
                    </w:p>
                    <w:p w14:paraId="1D3D3B15" w14:textId="5514C24D" w:rsid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131F07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ENDCOMMON            6</w:t>
                      </w:r>
                    </w:p>
                    <w:p w14:paraId="186EEC33" w14:textId="353CA67F" w:rsidR="00131F07" w:rsidRPr="00131F07" w:rsidRDefault="00131F07" w:rsidP="00131F07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19C1" w:rsidRPr="00E6225F">
        <w:rPr>
          <w:b/>
          <w:i/>
          <w:iCs/>
          <w:sz w:val="24"/>
          <w:szCs w:val="24"/>
          <w:lang w:val="en-GB" w:eastAsia="ja-JP"/>
        </w:rPr>
        <w:t>Example</w:t>
      </w:r>
      <w:r w:rsidR="000F19C1">
        <w:rPr>
          <w:b/>
          <w:sz w:val="24"/>
          <w:szCs w:val="24"/>
          <w:lang w:val="en-GB" w:eastAsia="ja-JP"/>
        </w:rPr>
        <w:t xml:space="preserve">: </w:t>
      </w:r>
      <w:r w:rsidR="00E6225F">
        <w:rPr>
          <w:b/>
          <w:sz w:val="24"/>
          <w:szCs w:val="24"/>
          <w:lang w:val="en-GB" w:eastAsia="ja-JP"/>
        </w:rPr>
        <w:t>EXFOR 23267.004</w:t>
      </w:r>
    </w:p>
    <w:p w14:paraId="0BDCA986" w14:textId="26322C5E" w:rsidR="000F19C1" w:rsidRDefault="000F19C1" w:rsidP="000F19C1">
      <w:pPr>
        <w:tabs>
          <w:tab w:val="left" w:pos="993"/>
        </w:tabs>
        <w:jc w:val="both"/>
        <w:rPr>
          <w:b/>
          <w:sz w:val="24"/>
          <w:szCs w:val="24"/>
          <w:lang w:val="en-GB" w:eastAsia="ja-JP"/>
        </w:rPr>
      </w:pPr>
    </w:p>
    <w:p w14:paraId="2547571A" w14:textId="51158AD3" w:rsidR="00DF3A30" w:rsidRDefault="00E6225F" w:rsidP="00D81592">
      <w:pPr>
        <w:jc w:val="both"/>
        <w:rPr>
          <w:bCs/>
          <w:sz w:val="24"/>
          <w:szCs w:val="24"/>
          <w:lang w:val="en-GB" w:eastAsia="ja-JP"/>
        </w:rPr>
      </w:pPr>
      <w:r w:rsidRPr="00E6225F">
        <w:rPr>
          <w:bCs/>
          <w:sz w:val="24"/>
          <w:szCs w:val="24"/>
          <w:lang w:val="en-GB" w:eastAsia="ja-JP"/>
        </w:rPr>
        <w:t xml:space="preserve">Table VI of the source article </w:t>
      </w:r>
      <w:r>
        <w:rPr>
          <w:bCs/>
          <w:sz w:val="24"/>
          <w:szCs w:val="24"/>
          <w:lang w:val="en-GB" w:eastAsia="ja-JP"/>
        </w:rPr>
        <w:t>(</w:t>
      </w:r>
      <w:r w:rsidR="00931C86">
        <w:rPr>
          <w:bCs/>
          <w:sz w:val="24"/>
          <w:szCs w:val="24"/>
          <w:lang w:val="en-GB" w:eastAsia="ja-JP"/>
        </w:rPr>
        <w:t xml:space="preserve">J.Marganiec et al., Phys.Rev.C90(2014)065801) </w:t>
      </w:r>
      <w:r w:rsidR="0065587D">
        <w:rPr>
          <w:bCs/>
          <w:sz w:val="24"/>
          <w:szCs w:val="24"/>
          <w:lang w:val="en-GB" w:eastAsia="ja-JP"/>
        </w:rPr>
        <w:t>gives</w:t>
      </w:r>
      <w:r w:rsidR="00931C86">
        <w:rPr>
          <w:bCs/>
          <w:sz w:val="24"/>
          <w:szCs w:val="24"/>
          <w:lang w:val="en-GB" w:eastAsia="ja-JP"/>
        </w:rPr>
        <w:t xml:space="preserve"> </w:t>
      </w:r>
      <w:r w:rsidR="0065587D">
        <w:rPr>
          <w:bCs/>
          <w:sz w:val="24"/>
          <w:szCs w:val="24"/>
          <w:lang w:val="en-GB" w:eastAsia="ja-JP"/>
        </w:rPr>
        <w:t>the following error budget</w:t>
      </w:r>
      <w:r w:rsidR="00F27257">
        <w:rPr>
          <w:bCs/>
          <w:sz w:val="24"/>
          <w:szCs w:val="24"/>
          <w:lang w:val="en-GB" w:eastAsia="ja-JP"/>
        </w:rPr>
        <w:t xml:space="preserve"> table</w:t>
      </w:r>
      <w:r w:rsidR="0065587D">
        <w:rPr>
          <w:bCs/>
          <w:sz w:val="24"/>
          <w:szCs w:val="24"/>
          <w:lang w:val="en-GB" w:eastAsia="ja-JP"/>
        </w:rPr>
        <w:t>:</w:t>
      </w:r>
    </w:p>
    <w:p w14:paraId="409472EC" w14:textId="1A09A579" w:rsidR="0065587D" w:rsidRDefault="0065587D" w:rsidP="00D8159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72BF" w:rsidRPr="00DE5F2E" w14:paraId="03863288" w14:textId="77777777" w:rsidTr="00F27257">
        <w:tc>
          <w:tcPr>
            <w:tcW w:w="3005" w:type="dxa"/>
          </w:tcPr>
          <w:p w14:paraId="1003B01E" w14:textId="03D65EF5" w:rsidR="00EE72BF" w:rsidRPr="00397B3D" w:rsidRDefault="00EE72BF" w:rsidP="00D81592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397B3D">
              <w:rPr>
                <w:b/>
                <w:sz w:val="24"/>
                <w:szCs w:val="24"/>
                <w:lang w:val="en-GB" w:eastAsia="ja-JP"/>
              </w:rPr>
              <w:t>Source</w:t>
            </w:r>
          </w:p>
        </w:tc>
        <w:tc>
          <w:tcPr>
            <w:tcW w:w="3005" w:type="dxa"/>
          </w:tcPr>
          <w:p w14:paraId="788827C4" w14:textId="73E55824" w:rsidR="00EE72BF" w:rsidRPr="00397B3D" w:rsidRDefault="00EE72BF" w:rsidP="00D81592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397B3D">
              <w:rPr>
                <w:b/>
                <w:sz w:val="24"/>
                <w:szCs w:val="24"/>
                <w:lang w:val="en-GB" w:eastAsia="ja-JP"/>
              </w:rPr>
              <w:t>Uncertainty (%)</w:t>
            </w:r>
          </w:p>
        </w:tc>
        <w:tc>
          <w:tcPr>
            <w:tcW w:w="3006" w:type="dxa"/>
          </w:tcPr>
          <w:p w14:paraId="1A6A853D" w14:textId="4C522DDD" w:rsidR="00EE72BF" w:rsidRPr="00397B3D" w:rsidRDefault="00EE72BF" w:rsidP="00D81592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397B3D">
              <w:rPr>
                <w:b/>
                <w:sz w:val="24"/>
                <w:szCs w:val="24"/>
                <w:lang w:val="en-GB" w:eastAsia="ja-JP"/>
              </w:rPr>
              <w:t>Heading in EXFOR</w:t>
            </w:r>
          </w:p>
        </w:tc>
      </w:tr>
      <w:tr w:rsidR="00EE72BF" w:rsidRPr="00DE5F2E" w14:paraId="14041D7C" w14:textId="77777777" w:rsidTr="00F27257">
        <w:tc>
          <w:tcPr>
            <w:tcW w:w="3005" w:type="dxa"/>
          </w:tcPr>
          <w:p w14:paraId="4E4D35D1" w14:textId="31EFB018" w:rsidR="00EE72BF" w:rsidRPr="00DE5F2E" w:rsidRDefault="00EE72BF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 xml:space="preserve">Au cross section </w:t>
            </w:r>
          </w:p>
        </w:tc>
        <w:tc>
          <w:tcPr>
            <w:tcW w:w="3005" w:type="dxa"/>
          </w:tcPr>
          <w:p w14:paraId="0316656D" w14:textId="68B3DB1E" w:rsidR="00EE72BF" w:rsidRPr="00DE5F2E" w:rsidRDefault="00EE72BF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1.40</w:t>
            </w:r>
          </w:p>
        </w:tc>
        <w:tc>
          <w:tcPr>
            <w:tcW w:w="3006" w:type="dxa"/>
          </w:tcPr>
          <w:p w14:paraId="0D3DB98D" w14:textId="52060861" w:rsidR="00EE72BF" w:rsidRPr="00DE5F2E" w:rsidRDefault="00E10B44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ERR-1</w:t>
            </w:r>
            <w:r>
              <w:rPr>
                <w:bCs/>
                <w:sz w:val="24"/>
                <w:szCs w:val="24"/>
                <w:lang w:val="en-GB" w:eastAsia="ja-JP"/>
              </w:rPr>
              <w:t xml:space="preserve"> (coded in 001)</w:t>
            </w:r>
          </w:p>
        </w:tc>
      </w:tr>
      <w:tr w:rsidR="00EE72BF" w:rsidRPr="00DE5F2E" w14:paraId="772D1996" w14:textId="77777777" w:rsidTr="00F27257">
        <w:tc>
          <w:tcPr>
            <w:tcW w:w="3005" w:type="dxa"/>
          </w:tcPr>
          <w:p w14:paraId="7CEBDE8C" w14:textId="7B2FCA0F" w:rsidR="00EE72BF" w:rsidRPr="00DE5F2E" w:rsidRDefault="00EE72BF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Isotopic abundance</w:t>
            </w:r>
          </w:p>
        </w:tc>
        <w:tc>
          <w:tcPr>
            <w:tcW w:w="3005" w:type="dxa"/>
          </w:tcPr>
          <w:p w14:paraId="7FC5A0DF" w14:textId="119B237C" w:rsidR="00EE72BF" w:rsidRPr="00DE5F2E" w:rsidRDefault="00CC09F8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Negligible</w:t>
            </w:r>
          </w:p>
        </w:tc>
        <w:tc>
          <w:tcPr>
            <w:tcW w:w="3006" w:type="dxa"/>
          </w:tcPr>
          <w:p w14:paraId="5BB984EB" w14:textId="5B5F50A0" w:rsidR="00EE72BF" w:rsidRPr="00DE5F2E" w:rsidRDefault="00EE72BF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</w:p>
        </w:tc>
      </w:tr>
      <w:tr w:rsidR="00EE72BF" w:rsidRPr="00DE5F2E" w14:paraId="425FF1EF" w14:textId="77777777" w:rsidTr="00F27257">
        <w:tc>
          <w:tcPr>
            <w:tcW w:w="3005" w:type="dxa"/>
          </w:tcPr>
          <w:p w14:paraId="183B971D" w14:textId="2F1BEE7D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Detector efficiency</w:t>
            </w:r>
          </w:p>
        </w:tc>
        <w:tc>
          <w:tcPr>
            <w:tcW w:w="3005" w:type="dxa"/>
          </w:tcPr>
          <w:p w14:paraId="412104AF" w14:textId="3D08C0BC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2.00</w:t>
            </w:r>
          </w:p>
        </w:tc>
        <w:tc>
          <w:tcPr>
            <w:tcW w:w="3006" w:type="dxa"/>
          </w:tcPr>
          <w:p w14:paraId="2ABD7C8D" w14:textId="57C33F68" w:rsidR="00EE72BF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ERR-2</w:t>
            </w:r>
          </w:p>
        </w:tc>
      </w:tr>
      <w:tr w:rsidR="00EE72BF" w:rsidRPr="00DE5F2E" w14:paraId="106724A7" w14:textId="77777777" w:rsidTr="00F27257">
        <w:tc>
          <w:tcPr>
            <w:tcW w:w="3005" w:type="dxa"/>
          </w:tcPr>
          <w:p w14:paraId="75D126F4" w14:textId="53289EE2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γ-ray intensity</w:t>
            </w:r>
          </w:p>
        </w:tc>
        <w:tc>
          <w:tcPr>
            <w:tcW w:w="3005" w:type="dxa"/>
          </w:tcPr>
          <w:p w14:paraId="73D04344" w14:textId="4E5A5A1E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0.15</w:t>
            </w:r>
          </w:p>
        </w:tc>
        <w:tc>
          <w:tcPr>
            <w:tcW w:w="3006" w:type="dxa"/>
          </w:tcPr>
          <w:p w14:paraId="17B185CF" w14:textId="03C06EA2" w:rsidR="00EE72BF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ERR-3</w:t>
            </w:r>
          </w:p>
        </w:tc>
      </w:tr>
      <w:tr w:rsidR="00EE72BF" w:rsidRPr="00DE5F2E" w14:paraId="0FA6ACC7" w14:textId="77777777" w:rsidTr="00F27257">
        <w:tc>
          <w:tcPr>
            <w:tcW w:w="3005" w:type="dxa"/>
          </w:tcPr>
          <w:p w14:paraId="5FF5D4F6" w14:textId="7C8563A2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γ-ray self absorption</w:t>
            </w:r>
          </w:p>
        </w:tc>
        <w:tc>
          <w:tcPr>
            <w:tcW w:w="3005" w:type="dxa"/>
          </w:tcPr>
          <w:p w14:paraId="74F7C757" w14:textId="7785E237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0.10-0.20</w:t>
            </w:r>
          </w:p>
        </w:tc>
        <w:tc>
          <w:tcPr>
            <w:tcW w:w="3006" w:type="dxa"/>
          </w:tcPr>
          <w:p w14:paraId="60A75CF9" w14:textId="75895811" w:rsidR="00EE72BF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ERR-4</w:t>
            </w:r>
          </w:p>
        </w:tc>
      </w:tr>
      <w:tr w:rsidR="00EE72BF" w:rsidRPr="00DE5F2E" w14:paraId="41C9F972" w14:textId="77777777" w:rsidTr="00F27257">
        <w:tc>
          <w:tcPr>
            <w:tcW w:w="3005" w:type="dxa"/>
          </w:tcPr>
          <w:p w14:paraId="083F0C7D" w14:textId="236AEEEF" w:rsidR="00EE72BF" w:rsidRPr="00DE5F2E" w:rsidRDefault="006B2B9A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Time factor fb</w:t>
            </w:r>
          </w:p>
        </w:tc>
        <w:tc>
          <w:tcPr>
            <w:tcW w:w="3005" w:type="dxa"/>
          </w:tcPr>
          <w:p w14:paraId="75CEC1BE" w14:textId="51D572FE" w:rsidR="00EE72BF" w:rsidRPr="00DE5F2E" w:rsidRDefault="007D0671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0.07-0.12</w:t>
            </w:r>
          </w:p>
        </w:tc>
        <w:tc>
          <w:tcPr>
            <w:tcW w:w="3006" w:type="dxa"/>
          </w:tcPr>
          <w:p w14:paraId="17EB87EB" w14:textId="10660CCB" w:rsidR="00EE72BF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ERR-5</w:t>
            </w:r>
          </w:p>
        </w:tc>
      </w:tr>
      <w:tr w:rsidR="00EE72BF" w:rsidRPr="00DE5F2E" w14:paraId="55EB9584" w14:textId="77777777" w:rsidTr="00F27257">
        <w:tc>
          <w:tcPr>
            <w:tcW w:w="3005" w:type="dxa"/>
          </w:tcPr>
          <w:p w14:paraId="7C73514B" w14:textId="564DAAA2" w:rsidR="00EE72BF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Half-life</w:t>
            </w:r>
          </w:p>
        </w:tc>
        <w:tc>
          <w:tcPr>
            <w:tcW w:w="3005" w:type="dxa"/>
          </w:tcPr>
          <w:p w14:paraId="6F02A401" w14:textId="43724B62" w:rsidR="00EE72BF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0.65</w:t>
            </w:r>
          </w:p>
        </w:tc>
        <w:tc>
          <w:tcPr>
            <w:tcW w:w="3006" w:type="dxa"/>
          </w:tcPr>
          <w:p w14:paraId="535A9AA5" w14:textId="3F128AB3" w:rsidR="00EE72BF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ERR-6</w:t>
            </w:r>
          </w:p>
        </w:tc>
      </w:tr>
      <w:tr w:rsidR="00DE5F2E" w:rsidRPr="00DE5F2E" w14:paraId="278D8571" w14:textId="77777777" w:rsidTr="00F27257">
        <w:tc>
          <w:tcPr>
            <w:tcW w:w="3005" w:type="dxa"/>
          </w:tcPr>
          <w:p w14:paraId="39ADAC21" w14:textId="7FEF4CEF" w:rsidR="00DE5F2E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Counting statistics</w:t>
            </w:r>
          </w:p>
        </w:tc>
        <w:tc>
          <w:tcPr>
            <w:tcW w:w="3005" w:type="dxa"/>
          </w:tcPr>
          <w:p w14:paraId="56B14C8C" w14:textId="5DF3304D" w:rsidR="00DE5F2E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0.14-0.22</w:t>
            </w:r>
          </w:p>
        </w:tc>
        <w:tc>
          <w:tcPr>
            <w:tcW w:w="3006" w:type="dxa"/>
          </w:tcPr>
          <w:p w14:paraId="6AD2798A" w14:textId="2B751619" w:rsidR="00DE5F2E" w:rsidRPr="00A071F6" w:rsidRDefault="00E10B44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</w:t>
            </w:r>
            <w:r w:rsidR="00397B3D" w:rsidRPr="00A071F6">
              <w:rPr>
                <w:bCs/>
                <w:lang w:val="en-GB" w:eastAsia="ja-JP"/>
              </w:rPr>
              <w:t>S</w:t>
            </w:r>
          </w:p>
        </w:tc>
      </w:tr>
      <w:tr w:rsidR="00DE5F2E" w:rsidRPr="00DE5F2E" w14:paraId="56AB34C7" w14:textId="77777777" w:rsidTr="00F27257">
        <w:tc>
          <w:tcPr>
            <w:tcW w:w="3005" w:type="dxa"/>
          </w:tcPr>
          <w:p w14:paraId="408E3B03" w14:textId="3B7AB635" w:rsidR="00DE5F2E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Stoichiometry</w:t>
            </w:r>
          </w:p>
        </w:tc>
        <w:tc>
          <w:tcPr>
            <w:tcW w:w="3005" w:type="dxa"/>
          </w:tcPr>
          <w:p w14:paraId="2B7AC6DF" w14:textId="2B572F60" w:rsidR="00DE5F2E" w:rsidRPr="00DE5F2E" w:rsidRDefault="00DE5F2E" w:rsidP="00D81592">
            <w:pPr>
              <w:jc w:val="both"/>
              <w:rPr>
                <w:bCs/>
                <w:sz w:val="24"/>
                <w:szCs w:val="24"/>
                <w:lang w:val="en-GB" w:eastAsia="ja-JP"/>
              </w:rPr>
            </w:pPr>
            <w:r w:rsidRPr="00DE5F2E">
              <w:rPr>
                <w:bCs/>
                <w:sz w:val="24"/>
                <w:szCs w:val="24"/>
                <w:lang w:val="en-GB" w:eastAsia="ja-JP"/>
              </w:rPr>
              <w:t>3.13</w:t>
            </w:r>
          </w:p>
        </w:tc>
        <w:tc>
          <w:tcPr>
            <w:tcW w:w="3006" w:type="dxa"/>
          </w:tcPr>
          <w:p w14:paraId="202C1841" w14:textId="2BFC9410" w:rsidR="00DE5F2E" w:rsidRPr="00A071F6" w:rsidRDefault="00397B3D" w:rsidP="00D81592">
            <w:pPr>
              <w:jc w:val="both"/>
              <w:rPr>
                <w:bCs/>
                <w:lang w:val="en-GB" w:eastAsia="ja-JP"/>
              </w:rPr>
            </w:pPr>
            <w:r w:rsidRPr="00A071F6">
              <w:rPr>
                <w:bCs/>
                <w:lang w:val="en-GB" w:eastAsia="ja-JP"/>
              </w:rPr>
              <w:t>ERR-7</w:t>
            </w:r>
          </w:p>
        </w:tc>
      </w:tr>
    </w:tbl>
    <w:p w14:paraId="7F1DCF59" w14:textId="77777777" w:rsidR="0065587D" w:rsidRPr="00E6225F" w:rsidRDefault="0065587D" w:rsidP="00D81592">
      <w:pPr>
        <w:jc w:val="both"/>
        <w:rPr>
          <w:bCs/>
          <w:sz w:val="24"/>
          <w:szCs w:val="24"/>
          <w:lang w:val="en-GB" w:eastAsia="ja-JP"/>
        </w:rPr>
      </w:pPr>
    </w:p>
    <w:p w14:paraId="74157322" w14:textId="64EBBF3F" w:rsidR="00E6225F" w:rsidRDefault="00600BF0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The quadrature sum of these </w:t>
      </w:r>
      <w:r w:rsidR="00FB254C">
        <w:rPr>
          <w:bCs/>
          <w:sz w:val="24"/>
          <w:szCs w:val="24"/>
          <w:lang w:val="en-GB" w:eastAsia="ja-JP"/>
        </w:rPr>
        <w:t xml:space="preserve">partial </w:t>
      </w:r>
      <w:r>
        <w:rPr>
          <w:bCs/>
          <w:sz w:val="24"/>
          <w:szCs w:val="24"/>
          <w:lang w:val="en-GB" w:eastAsia="ja-JP"/>
        </w:rPr>
        <w:t xml:space="preserve">uncertainties give ~4.0% which agrees with </w:t>
      </w:r>
      <w:r w:rsidR="00DF3DBD">
        <w:rPr>
          <w:bCs/>
          <w:sz w:val="24"/>
          <w:szCs w:val="24"/>
          <w:lang w:val="en-GB" w:eastAsia="ja-JP"/>
        </w:rPr>
        <w:t xml:space="preserve">the </w:t>
      </w:r>
      <w:r w:rsidR="00AE0AFB">
        <w:rPr>
          <w:bCs/>
          <w:sz w:val="24"/>
          <w:szCs w:val="24"/>
          <w:lang w:val="en-GB" w:eastAsia="ja-JP"/>
        </w:rPr>
        <w:t xml:space="preserve">“Total uncertainty” in the </w:t>
      </w:r>
      <w:r w:rsidR="00DF3DBD">
        <w:rPr>
          <w:bCs/>
          <w:sz w:val="24"/>
          <w:szCs w:val="24"/>
          <w:lang w:val="en-GB" w:eastAsia="ja-JP"/>
        </w:rPr>
        <w:t xml:space="preserve">last line of Table </w:t>
      </w:r>
      <w:r w:rsidR="00DF3DBD" w:rsidRPr="00244E78">
        <w:rPr>
          <w:bCs/>
          <w:sz w:val="24"/>
          <w:szCs w:val="24"/>
          <w:lang w:val="en-GB" w:eastAsia="ja-JP"/>
        </w:rPr>
        <w:t xml:space="preserve">VI. </w:t>
      </w:r>
      <w:r w:rsidR="00F30C20" w:rsidRPr="00244E78">
        <w:rPr>
          <w:bCs/>
          <w:sz w:val="24"/>
          <w:szCs w:val="24"/>
          <w:lang w:val="en-GB" w:eastAsia="ja-JP"/>
        </w:rPr>
        <w:t>Table II of the article give</w:t>
      </w:r>
      <w:r w:rsidR="00AE0AFB">
        <w:rPr>
          <w:bCs/>
          <w:sz w:val="24"/>
          <w:szCs w:val="24"/>
          <w:lang w:val="en-GB" w:eastAsia="ja-JP"/>
        </w:rPr>
        <w:t>s</w:t>
      </w:r>
      <w:r w:rsidR="00F30C20" w:rsidRPr="00244E78">
        <w:rPr>
          <w:bCs/>
          <w:sz w:val="24"/>
          <w:szCs w:val="24"/>
          <w:lang w:val="en-GB" w:eastAsia="ja-JP"/>
        </w:rPr>
        <w:t xml:space="preserve"> t</w:t>
      </w:r>
      <w:r w:rsidR="002F012E" w:rsidRPr="00244E78">
        <w:rPr>
          <w:bCs/>
          <w:sz w:val="24"/>
          <w:szCs w:val="24"/>
          <w:lang w:val="en-GB" w:eastAsia="ja-JP"/>
        </w:rPr>
        <w:t>he half-life uncertainty (</w:t>
      </w:r>
      <w:r w:rsidR="00F30C20" w:rsidRPr="00244E78">
        <w:rPr>
          <w:bCs/>
          <w:sz w:val="24"/>
          <w:szCs w:val="24"/>
          <w:lang w:val="en-GB" w:eastAsia="ja-JP"/>
        </w:rPr>
        <w:t>0.1 d) and gamma intensity uncertainty (</w:t>
      </w:r>
      <w:r w:rsidR="00244E78" w:rsidRPr="00244E78">
        <w:rPr>
          <w:bCs/>
          <w:sz w:val="24"/>
          <w:szCs w:val="24"/>
          <w:lang w:val="en-GB" w:eastAsia="ja-JP"/>
        </w:rPr>
        <w:t>0.04 γs per 100 decays)</w:t>
      </w:r>
      <w:r w:rsidR="0057652A">
        <w:rPr>
          <w:bCs/>
          <w:sz w:val="24"/>
          <w:szCs w:val="24"/>
          <w:lang w:val="en-GB" w:eastAsia="ja-JP"/>
        </w:rPr>
        <w:t xml:space="preserve"> and the original compiler of this entry provided these uncertainties under </w:t>
      </w:r>
      <w:r w:rsidR="0057652A" w:rsidRPr="0057652A">
        <w:rPr>
          <w:bCs/>
          <w:lang w:val="en-GB" w:eastAsia="ja-JP"/>
        </w:rPr>
        <w:t>ERR-HL</w:t>
      </w:r>
      <w:r w:rsidR="0057652A">
        <w:rPr>
          <w:bCs/>
          <w:sz w:val="24"/>
          <w:szCs w:val="24"/>
          <w:lang w:val="en-GB" w:eastAsia="ja-JP"/>
        </w:rPr>
        <w:t xml:space="preserve"> and </w:t>
      </w:r>
      <w:r w:rsidR="0057652A" w:rsidRPr="0057652A">
        <w:rPr>
          <w:bCs/>
          <w:lang w:val="en-GB" w:eastAsia="ja-JP"/>
        </w:rPr>
        <w:t>ERR-IDD</w:t>
      </w:r>
      <w:r w:rsidR="00F7298F">
        <w:rPr>
          <w:bCs/>
          <w:sz w:val="24"/>
          <w:szCs w:val="24"/>
          <w:lang w:val="en-GB" w:eastAsia="ja-JP"/>
        </w:rPr>
        <w:t xml:space="preserve"> The corresponding fractional uncertaint</w:t>
      </w:r>
      <w:r w:rsidR="00626A77">
        <w:rPr>
          <w:bCs/>
          <w:sz w:val="24"/>
          <w:szCs w:val="24"/>
          <w:lang w:val="en-GB" w:eastAsia="ja-JP"/>
        </w:rPr>
        <w:t>ies</w:t>
      </w:r>
      <w:r w:rsidR="00F7298F">
        <w:rPr>
          <w:bCs/>
          <w:sz w:val="24"/>
          <w:szCs w:val="24"/>
          <w:lang w:val="en-GB" w:eastAsia="ja-JP"/>
        </w:rPr>
        <w:t xml:space="preserve"> </w:t>
      </w:r>
      <w:r w:rsidR="0057652A">
        <w:rPr>
          <w:bCs/>
          <w:sz w:val="24"/>
          <w:szCs w:val="24"/>
          <w:lang w:val="en-GB" w:eastAsia="ja-JP"/>
        </w:rPr>
        <w:t xml:space="preserve">propagated to the cross section and listed in the error budget table </w:t>
      </w:r>
      <w:r w:rsidR="00F7298F">
        <w:rPr>
          <w:bCs/>
          <w:sz w:val="24"/>
          <w:szCs w:val="24"/>
          <w:lang w:val="en-GB" w:eastAsia="ja-JP"/>
        </w:rPr>
        <w:t>(0.1/15.4=</w:t>
      </w:r>
      <w:r w:rsidR="00FE20AA">
        <w:rPr>
          <w:bCs/>
          <w:sz w:val="24"/>
          <w:szCs w:val="24"/>
          <w:lang w:val="en-GB" w:eastAsia="ja-JP"/>
        </w:rPr>
        <w:t>0.65% for half</w:t>
      </w:r>
      <w:r w:rsidR="00DE59B5">
        <w:rPr>
          <w:bCs/>
          <w:sz w:val="24"/>
          <w:szCs w:val="24"/>
          <w:lang w:val="en-GB" w:eastAsia="ja-JP"/>
        </w:rPr>
        <w:t>-</w:t>
      </w:r>
      <w:r w:rsidR="00FE20AA">
        <w:rPr>
          <w:bCs/>
          <w:sz w:val="24"/>
          <w:szCs w:val="24"/>
          <w:lang w:val="en-GB" w:eastAsia="ja-JP"/>
        </w:rPr>
        <w:t>life and 0.04/</w:t>
      </w:r>
      <w:r w:rsidR="00AA464F">
        <w:rPr>
          <w:bCs/>
          <w:sz w:val="24"/>
          <w:szCs w:val="24"/>
          <w:lang w:val="en-GB" w:eastAsia="ja-JP"/>
        </w:rPr>
        <w:t>26.50</w:t>
      </w:r>
      <w:r w:rsidR="00FE20AA">
        <w:rPr>
          <w:bCs/>
          <w:sz w:val="24"/>
          <w:szCs w:val="24"/>
          <w:lang w:val="en-GB" w:eastAsia="ja-JP"/>
        </w:rPr>
        <w:t>=</w:t>
      </w:r>
      <w:r w:rsidR="00626A77">
        <w:rPr>
          <w:bCs/>
          <w:sz w:val="24"/>
          <w:szCs w:val="24"/>
          <w:lang w:val="en-GB" w:eastAsia="ja-JP"/>
        </w:rPr>
        <w:t>0.</w:t>
      </w:r>
      <w:r w:rsidR="00AA464F">
        <w:rPr>
          <w:bCs/>
          <w:sz w:val="24"/>
          <w:szCs w:val="24"/>
          <w:lang w:val="en-GB" w:eastAsia="ja-JP"/>
        </w:rPr>
        <w:t>15</w:t>
      </w:r>
      <w:r w:rsidR="00626A77">
        <w:rPr>
          <w:bCs/>
          <w:sz w:val="24"/>
          <w:szCs w:val="24"/>
          <w:lang w:val="en-GB" w:eastAsia="ja-JP"/>
        </w:rPr>
        <w:t>%</w:t>
      </w:r>
      <w:r w:rsidR="0057652A">
        <w:rPr>
          <w:bCs/>
          <w:sz w:val="24"/>
          <w:szCs w:val="24"/>
          <w:lang w:val="en-GB" w:eastAsia="ja-JP"/>
        </w:rPr>
        <w:t xml:space="preserve"> for gamma intensity</w:t>
      </w:r>
      <w:r w:rsidR="00FE20AA">
        <w:rPr>
          <w:bCs/>
          <w:sz w:val="24"/>
          <w:szCs w:val="24"/>
          <w:lang w:val="en-GB" w:eastAsia="ja-JP"/>
        </w:rPr>
        <w:t xml:space="preserve">) </w:t>
      </w:r>
      <w:r w:rsidR="00626A77">
        <w:rPr>
          <w:bCs/>
          <w:sz w:val="24"/>
          <w:szCs w:val="24"/>
          <w:lang w:val="en-GB" w:eastAsia="ja-JP"/>
        </w:rPr>
        <w:t xml:space="preserve">are coded under </w:t>
      </w:r>
      <w:r w:rsidR="00626A77" w:rsidRPr="0057652A">
        <w:rPr>
          <w:bCs/>
          <w:lang w:val="en-GB" w:eastAsia="ja-JP"/>
        </w:rPr>
        <w:t>ERR-6</w:t>
      </w:r>
      <w:r w:rsidR="00626A77">
        <w:rPr>
          <w:bCs/>
          <w:sz w:val="24"/>
          <w:szCs w:val="24"/>
          <w:lang w:val="en-GB" w:eastAsia="ja-JP"/>
        </w:rPr>
        <w:t xml:space="preserve"> and </w:t>
      </w:r>
      <w:r w:rsidR="00DE59B5" w:rsidRPr="0057652A">
        <w:rPr>
          <w:bCs/>
          <w:lang w:val="en-GB" w:eastAsia="ja-JP"/>
        </w:rPr>
        <w:t>ERR-3</w:t>
      </w:r>
      <w:r w:rsidR="00DE59B5">
        <w:rPr>
          <w:bCs/>
          <w:sz w:val="24"/>
          <w:szCs w:val="24"/>
          <w:lang w:val="en-GB" w:eastAsia="ja-JP"/>
        </w:rPr>
        <w:t xml:space="preserve">, respectively, and should not </w:t>
      </w:r>
      <w:r w:rsidR="00FE0A86">
        <w:rPr>
          <w:bCs/>
          <w:sz w:val="24"/>
          <w:szCs w:val="24"/>
          <w:lang w:val="en-GB" w:eastAsia="ja-JP"/>
        </w:rPr>
        <w:t xml:space="preserve">be </w:t>
      </w:r>
      <w:r w:rsidR="00DE59B5">
        <w:rPr>
          <w:bCs/>
          <w:sz w:val="24"/>
          <w:szCs w:val="24"/>
          <w:lang w:val="en-GB" w:eastAsia="ja-JP"/>
        </w:rPr>
        <w:t>coded again</w:t>
      </w:r>
      <w:r w:rsidR="00E300FB">
        <w:rPr>
          <w:bCs/>
          <w:sz w:val="24"/>
          <w:szCs w:val="24"/>
          <w:lang w:val="en-GB" w:eastAsia="ja-JP"/>
        </w:rPr>
        <w:t xml:space="preserve"> under </w:t>
      </w:r>
      <w:r w:rsidR="00E300FB" w:rsidRPr="00E300FB">
        <w:rPr>
          <w:bCs/>
          <w:lang w:val="en-GB" w:eastAsia="ja-JP"/>
        </w:rPr>
        <w:t>ERR-HL</w:t>
      </w:r>
      <w:r w:rsidR="00E300FB">
        <w:rPr>
          <w:bCs/>
          <w:sz w:val="24"/>
          <w:szCs w:val="24"/>
          <w:lang w:val="en-GB" w:eastAsia="ja-JP"/>
        </w:rPr>
        <w:t xml:space="preserve"> and </w:t>
      </w:r>
      <w:r w:rsidR="00E300FB" w:rsidRPr="00E300FB">
        <w:rPr>
          <w:bCs/>
          <w:lang w:val="en-GB" w:eastAsia="ja-JP"/>
        </w:rPr>
        <w:t>ERR-IDD</w:t>
      </w:r>
      <w:r w:rsidR="00DE59B5">
        <w:rPr>
          <w:bCs/>
          <w:sz w:val="24"/>
          <w:szCs w:val="24"/>
          <w:lang w:val="en-GB" w:eastAsia="ja-JP"/>
        </w:rPr>
        <w:t>.</w:t>
      </w:r>
    </w:p>
    <w:p w14:paraId="6FFCF2CC" w14:textId="07ACF842" w:rsidR="00DE59B5" w:rsidRDefault="00DE59B5" w:rsidP="00D81592">
      <w:pPr>
        <w:jc w:val="both"/>
        <w:rPr>
          <w:bCs/>
          <w:sz w:val="24"/>
          <w:szCs w:val="24"/>
          <w:lang w:val="en-GB" w:eastAsia="ja-JP"/>
        </w:rPr>
      </w:pPr>
    </w:p>
    <w:p w14:paraId="11BCB5E6" w14:textId="653DC8CF" w:rsidR="00CC09F8" w:rsidRPr="00A90225" w:rsidRDefault="00CC09F8" w:rsidP="00D81592">
      <w:pPr>
        <w:jc w:val="both"/>
        <w:rPr>
          <w:bCs/>
          <w:sz w:val="24"/>
          <w:szCs w:val="24"/>
          <w:u w:val="single"/>
          <w:lang w:val="en-GB" w:eastAsia="ja-JP"/>
        </w:rPr>
      </w:pPr>
      <w:r w:rsidRPr="00A90225">
        <w:rPr>
          <w:bCs/>
          <w:sz w:val="24"/>
          <w:szCs w:val="24"/>
          <w:u w:val="single"/>
          <w:lang w:val="en-GB" w:eastAsia="ja-JP"/>
        </w:rPr>
        <w:t xml:space="preserve">Coding of </w:t>
      </w:r>
      <w:r w:rsidRPr="00A90225">
        <w:rPr>
          <w:bCs/>
          <w:u w:val="single"/>
          <w:lang w:val="en-GB" w:eastAsia="ja-JP"/>
        </w:rPr>
        <w:t>ERR-HL</w:t>
      </w:r>
      <w:r w:rsidRPr="00A90225">
        <w:rPr>
          <w:bCs/>
          <w:sz w:val="24"/>
          <w:szCs w:val="24"/>
          <w:u w:val="single"/>
          <w:lang w:val="en-GB" w:eastAsia="ja-JP"/>
        </w:rPr>
        <w:t xml:space="preserve"> and </w:t>
      </w:r>
      <w:r w:rsidRPr="00A90225">
        <w:rPr>
          <w:bCs/>
          <w:u w:val="single"/>
          <w:lang w:val="en-GB" w:eastAsia="ja-JP"/>
        </w:rPr>
        <w:t>ERR-IDD</w:t>
      </w:r>
      <w:r w:rsidRPr="00A90225">
        <w:rPr>
          <w:bCs/>
          <w:sz w:val="24"/>
          <w:szCs w:val="24"/>
          <w:u w:val="single"/>
          <w:lang w:val="en-GB" w:eastAsia="ja-JP"/>
        </w:rPr>
        <w:t xml:space="preserve"> should be allowed only when they are propagated to the total uncertainty (</w:t>
      </w:r>
      <w:r w:rsidRPr="00A90225">
        <w:rPr>
          <w:bCs/>
          <w:u w:val="single"/>
          <w:lang w:val="en-GB" w:eastAsia="ja-JP"/>
        </w:rPr>
        <w:t>ERR-T</w:t>
      </w:r>
      <w:r w:rsidRPr="00A90225">
        <w:rPr>
          <w:bCs/>
          <w:sz w:val="24"/>
          <w:szCs w:val="24"/>
          <w:u w:val="single"/>
          <w:lang w:val="en-GB" w:eastAsia="ja-JP"/>
        </w:rPr>
        <w:t xml:space="preserve">) and also not coded as fractional (%) partial uncertainties of the quantity measured under </w:t>
      </w:r>
      <w:r w:rsidRPr="00A90225">
        <w:rPr>
          <w:bCs/>
          <w:u w:val="single"/>
          <w:lang w:val="en-GB" w:eastAsia="ja-JP"/>
        </w:rPr>
        <w:t>ERR-1</w:t>
      </w:r>
      <w:r w:rsidRPr="00A90225">
        <w:rPr>
          <w:bCs/>
          <w:sz w:val="24"/>
          <w:szCs w:val="24"/>
          <w:u w:val="single"/>
          <w:lang w:val="en-GB" w:eastAsia="ja-JP"/>
        </w:rPr>
        <w:t xml:space="preserve"> etc.</w:t>
      </w:r>
    </w:p>
    <w:p w14:paraId="47B6858D" w14:textId="77777777" w:rsidR="00CC09F8" w:rsidRPr="00A90225" w:rsidRDefault="00CC09F8" w:rsidP="00D81592">
      <w:pPr>
        <w:jc w:val="both"/>
        <w:rPr>
          <w:bCs/>
          <w:sz w:val="24"/>
          <w:szCs w:val="24"/>
          <w:lang w:val="en-GB" w:eastAsia="ja-JP"/>
        </w:rPr>
      </w:pPr>
    </w:p>
    <w:p w14:paraId="4C466140" w14:textId="2FAF33D1" w:rsidR="005C2BFE" w:rsidRPr="00600BF0" w:rsidRDefault="005C2BFE" w:rsidP="00D81592">
      <w:pPr>
        <w:jc w:val="both"/>
        <w:rPr>
          <w:bCs/>
          <w:sz w:val="24"/>
          <w:szCs w:val="24"/>
          <w:lang w:val="en-GB" w:eastAsia="ja-JP"/>
        </w:rPr>
      </w:pPr>
      <w:r w:rsidRPr="00A90225">
        <w:rPr>
          <w:bCs/>
          <w:sz w:val="24"/>
          <w:szCs w:val="24"/>
          <w:lang w:val="en-GB" w:eastAsia="ja-JP"/>
        </w:rPr>
        <w:t xml:space="preserve">Note that the </w:t>
      </w:r>
      <w:r w:rsidR="005F008D" w:rsidRPr="00A90225">
        <w:rPr>
          <w:bCs/>
          <w:sz w:val="24"/>
          <w:szCs w:val="24"/>
          <w:lang w:val="en-GB" w:eastAsia="ja-JP"/>
        </w:rPr>
        <w:t>“</w:t>
      </w:r>
      <w:r w:rsidRPr="00A90225">
        <w:rPr>
          <w:bCs/>
          <w:sz w:val="24"/>
          <w:szCs w:val="24"/>
          <w:lang w:val="en-GB" w:eastAsia="ja-JP"/>
        </w:rPr>
        <w:t>uncertainty in the half-life</w:t>
      </w:r>
      <w:r w:rsidR="005F008D" w:rsidRPr="00A90225">
        <w:rPr>
          <w:bCs/>
          <w:sz w:val="24"/>
          <w:szCs w:val="24"/>
          <w:lang w:val="en-GB" w:eastAsia="ja-JP"/>
        </w:rPr>
        <w:t>”</w:t>
      </w:r>
      <w:r w:rsidRPr="00A90225">
        <w:rPr>
          <w:bCs/>
          <w:sz w:val="24"/>
          <w:szCs w:val="24"/>
          <w:lang w:val="en-GB" w:eastAsia="ja-JP"/>
        </w:rPr>
        <w:t xml:space="preserve"> is usually different from the </w:t>
      </w:r>
      <w:r w:rsidR="005F008D" w:rsidRPr="00A90225">
        <w:rPr>
          <w:bCs/>
          <w:sz w:val="24"/>
          <w:szCs w:val="24"/>
          <w:lang w:val="en-GB" w:eastAsia="ja-JP"/>
        </w:rPr>
        <w:t>“</w:t>
      </w:r>
      <w:r w:rsidRPr="00A90225">
        <w:rPr>
          <w:bCs/>
          <w:sz w:val="24"/>
          <w:szCs w:val="24"/>
          <w:lang w:val="en-GB" w:eastAsia="ja-JP"/>
        </w:rPr>
        <w:t xml:space="preserve">uncertainty in the activation cross section </w:t>
      </w:r>
      <w:r w:rsidR="00CC09F8" w:rsidRPr="00A90225">
        <w:rPr>
          <w:bCs/>
          <w:sz w:val="24"/>
          <w:szCs w:val="24"/>
          <w:lang w:val="en-GB" w:eastAsia="ja-JP"/>
        </w:rPr>
        <w:t xml:space="preserve">propagated from </w:t>
      </w:r>
      <w:r w:rsidRPr="00A90225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>uncertainty in the half-life</w:t>
      </w:r>
      <w:r w:rsidR="005F008D">
        <w:rPr>
          <w:bCs/>
          <w:sz w:val="24"/>
          <w:szCs w:val="24"/>
          <w:lang w:val="en-GB" w:eastAsia="ja-JP"/>
        </w:rPr>
        <w:t>”</w:t>
      </w:r>
      <w:r>
        <w:rPr>
          <w:bCs/>
          <w:sz w:val="24"/>
          <w:szCs w:val="24"/>
          <w:lang w:val="en-GB" w:eastAsia="ja-JP"/>
        </w:rPr>
        <w:t xml:space="preserve"> since the activation </w:t>
      </w:r>
      <w:r w:rsidR="005F008D">
        <w:rPr>
          <w:bCs/>
          <w:sz w:val="24"/>
          <w:szCs w:val="24"/>
          <w:lang w:val="en-GB" w:eastAsia="ja-JP"/>
        </w:rPr>
        <w:t xml:space="preserve">cross section </w:t>
      </w:r>
      <w:r>
        <w:rPr>
          <w:bCs/>
          <w:sz w:val="24"/>
          <w:szCs w:val="24"/>
          <w:lang w:val="en-GB" w:eastAsia="ja-JP"/>
        </w:rPr>
        <w:t xml:space="preserve">is not proportional to the half-life. </w:t>
      </w:r>
      <w:r w:rsidR="005F008D">
        <w:rPr>
          <w:bCs/>
          <w:sz w:val="24"/>
          <w:szCs w:val="24"/>
          <w:lang w:val="en-GB" w:eastAsia="ja-JP"/>
        </w:rPr>
        <w:t>In this regard, it is questionable to see the half-live uncertainty (</w:t>
      </w:r>
      <w:r w:rsidR="007A07C8">
        <w:rPr>
          <w:bCs/>
          <w:sz w:val="24"/>
          <w:szCs w:val="24"/>
          <w:lang w:val="en-GB" w:eastAsia="ja-JP"/>
        </w:rPr>
        <w:t>0.1 d /15.4 d =</w:t>
      </w:r>
      <w:r w:rsidR="005F008D">
        <w:rPr>
          <w:bCs/>
          <w:sz w:val="24"/>
          <w:szCs w:val="24"/>
          <w:lang w:val="en-GB" w:eastAsia="ja-JP"/>
        </w:rPr>
        <w:t xml:space="preserve">0.65%) in the error budget table (Table VI). I sent several questions to the first author but without any response. </w:t>
      </w:r>
      <w:r w:rsidR="005D58DC">
        <w:rPr>
          <w:bCs/>
          <w:sz w:val="24"/>
          <w:szCs w:val="24"/>
          <w:lang w:val="en-GB" w:eastAsia="ja-JP"/>
        </w:rPr>
        <w:t xml:space="preserve">When </w:t>
      </w:r>
      <w:r w:rsidR="005F008D">
        <w:rPr>
          <w:bCs/>
          <w:sz w:val="24"/>
          <w:szCs w:val="24"/>
          <w:lang w:val="en-GB" w:eastAsia="ja-JP"/>
        </w:rPr>
        <w:t>w</w:t>
      </w:r>
      <w:r w:rsidR="005D58DC">
        <w:rPr>
          <w:bCs/>
          <w:sz w:val="24"/>
          <w:szCs w:val="24"/>
          <w:lang w:val="en-GB" w:eastAsia="ja-JP"/>
        </w:rPr>
        <w:t xml:space="preserve">e can ignore the uncertainty in the irradiation, cooling and measurement time, the half-life uncertainty can be propagated </w:t>
      </w:r>
      <w:r w:rsidR="005F008D">
        <w:rPr>
          <w:bCs/>
          <w:sz w:val="24"/>
          <w:szCs w:val="24"/>
          <w:lang w:val="en-GB" w:eastAsia="ja-JP"/>
        </w:rPr>
        <w:t xml:space="preserve">to the </w:t>
      </w:r>
      <w:r w:rsidR="005C55D8">
        <w:rPr>
          <w:bCs/>
          <w:sz w:val="24"/>
          <w:szCs w:val="24"/>
          <w:lang w:val="en-GB" w:eastAsia="ja-JP"/>
        </w:rPr>
        <w:t xml:space="preserve">activation </w:t>
      </w:r>
      <w:r w:rsidR="005F008D">
        <w:rPr>
          <w:bCs/>
          <w:sz w:val="24"/>
          <w:szCs w:val="24"/>
          <w:lang w:val="en-GB" w:eastAsia="ja-JP"/>
        </w:rPr>
        <w:t xml:space="preserve">cross section uncertainty </w:t>
      </w:r>
      <w:r w:rsidR="00C761FF">
        <w:rPr>
          <w:bCs/>
          <w:sz w:val="24"/>
          <w:szCs w:val="24"/>
          <w:lang w:val="en-GB" w:eastAsia="ja-JP"/>
        </w:rPr>
        <w:t>rather simply</w:t>
      </w:r>
      <w:r w:rsidR="006D3510">
        <w:rPr>
          <w:bCs/>
          <w:sz w:val="24"/>
          <w:szCs w:val="24"/>
          <w:lang w:val="en-GB" w:eastAsia="ja-JP"/>
        </w:rPr>
        <w:t>. See Eq.(47) of N.</w:t>
      </w:r>
      <w:r w:rsidR="00A071F6">
        <w:rPr>
          <w:bCs/>
          <w:sz w:val="24"/>
          <w:szCs w:val="24"/>
          <w:lang w:val="en-GB" w:eastAsia="ja-JP"/>
        </w:rPr>
        <w:t xml:space="preserve"> </w:t>
      </w:r>
      <w:r w:rsidR="006D3510">
        <w:rPr>
          <w:bCs/>
          <w:sz w:val="24"/>
          <w:szCs w:val="24"/>
          <w:lang w:val="en-GB" w:eastAsia="ja-JP"/>
        </w:rPr>
        <w:t xml:space="preserve">Otuka et al. </w:t>
      </w:r>
      <w:r w:rsidR="00A071F6">
        <w:rPr>
          <w:bCs/>
          <w:sz w:val="24"/>
          <w:szCs w:val="24"/>
          <w:lang w:val="en-GB" w:eastAsia="ja-JP"/>
        </w:rPr>
        <w:t>Radiat.Phys.Chem.</w:t>
      </w:r>
      <w:r w:rsidR="00A071F6" w:rsidRPr="00A071F6">
        <w:rPr>
          <w:b/>
          <w:sz w:val="24"/>
          <w:szCs w:val="24"/>
          <w:lang w:val="en-GB" w:eastAsia="ja-JP"/>
        </w:rPr>
        <w:t>140</w:t>
      </w:r>
      <w:r w:rsidR="00A071F6">
        <w:rPr>
          <w:bCs/>
          <w:sz w:val="24"/>
          <w:szCs w:val="24"/>
          <w:lang w:val="en-GB" w:eastAsia="ja-JP"/>
        </w:rPr>
        <w:t xml:space="preserve">(2017)502 for further details. </w:t>
      </w:r>
    </w:p>
    <w:p w14:paraId="645446C0" w14:textId="77777777" w:rsidR="00E6225F" w:rsidRDefault="00E6225F" w:rsidP="00D81592">
      <w:pPr>
        <w:jc w:val="both"/>
        <w:rPr>
          <w:b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7777777" w:rsidR="008C75BC" w:rsidRPr="00C45E6D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8C75BC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C63E" w14:textId="77777777" w:rsidR="00D17DBD" w:rsidRDefault="00D17DBD">
      <w:r>
        <w:separator/>
      </w:r>
    </w:p>
  </w:endnote>
  <w:endnote w:type="continuationSeparator" w:id="0">
    <w:p w14:paraId="63DAFCA8" w14:textId="77777777" w:rsidR="00D17DBD" w:rsidRDefault="00D1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0025" w14:textId="77777777" w:rsidR="00D17DBD" w:rsidRDefault="00D17DBD">
      <w:r>
        <w:separator/>
      </w:r>
    </w:p>
  </w:footnote>
  <w:footnote w:type="continuationSeparator" w:id="0">
    <w:p w14:paraId="6E020BB8" w14:textId="77777777" w:rsidR="00D17DBD" w:rsidRDefault="00D1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13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1F07"/>
    <w:rsid w:val="001329D7"/>
    <w:rsid w:val="00132C10"/>
    <w:rsid w:val="0013351E"/>
    <w:rsid w:val="00133B1F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62E6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1BE7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44E78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1BAC"/>
    <w:rsid w:val="002E2B69"/>
    <w:rsid w:val="002E3ADB"/>
    <w:rsid w:val="002E49D7"/>
    <w:rsid w:val="002E7EC6"/>
    <w:rsid w:val="002E7F4C"/>
    <w:rsid w:val="002F012E"/>
    <w:rsid w:val="002F1A89"/>
    <w:rsid w:val="002F2ADD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CAE"/>
    <w:rsid w:val="00310670"/>
    <w:rsid w:val="003112B6"/>
    <w:rsid w:val="00311D9C"/>
    <w:rsid w:val="003148C5"/>
    <w:rsid w:val="00315F5C"/>
    <w:rsid w:val="00316527"/>
    <w:rsid w:val="00317F71"/>
    <w:rsid w:val="00320637"/>
    <w:rsid w:val="00320778"/>
    <w:rsid w:val="0032098E"/>
    <w:rsid w:val="00322FA7"/>
    <w:rsid w:val="0032378D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2EAE"/>
    <w:rsid w:val="00345359"/>
    <w:rsid w:val="00345A68"/>
    <w:rsid w:val="00346238"/>
    <w:rsid w:val="0034655C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0E0"/>
    <w:rsid w:val="00440440"/>
    <w:rsid w:val="00441FA5"/>
    <w:rsid w:val="0044307E"/>
    <w:rsid w:val="004459CE"/>
    <w:rsid w:val="00445A85"/>
    <w:rsid w:val="00447F32"/>
    <w:rsid w:val="00450346"/>
    <w:rsid w:val="00453599"/>
    <w:rsid w:val="00453D4C"/>
    <w:rsid w:val="00454E5E"/>
    <w:rsid w:val="00455D14"/>
    <w:rsid w:val="00460D0B"/>
    <w:rsid w:val="00462498"/>
    <w:rsid w:val="00462FF0"/>
    <w:rsid w:val="004633B6"/>
    <w:rsid w:val="004650B3"/>
    <w:rsid w:val="00466529"/>
    <w:rsid w:val="0046706F"/>
    <w:rsid w:val="0047303B"/>
    <w:rsid w:val="004759C6"/>
    <w:rsid w:val="00475F34"/>
    <w:rsid w:val="00477554"/>
    <w:rsid w:val="00477A29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D6043"/>
    <w:rsid w:val="004E03FB"/>
    <w:rsid w:val="004E287E"/>
    <w:rsid w:val="004E32FF"/>
    <w:rsid w:val="004E337D"/>
    <w:rsid w:val="004E54A5"/>
    <w:rsid w:val="004E58C9"/>
    <w:rsid w:val="004E666B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93B"/>
    <w:rsid w:val="00626A77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4836"/>
    <w:rsid w:val="0065587D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4C62"/>
    <w:rsid w:val="006B4FB4"/>
    <w:rsid w:val="006B6212"/>
    <w:rsid w:val="006B78D0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F0"/>
    <w:rsid w:val="00700B7B"/>
    <w:rsid w:val="00700F94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3D6"/>
    <w:rsid w:val="00736509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5E79"/>
    <w:rsid w:val="007F5F81"/>
    <w:rsid w:val="007F6C3D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9A5"/>
    <w:rsid w:val="009401BB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E0AFB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4C85"/>
    <w:rsid w:val="00BF53A6"/>
    <w:rsid w:val="00BF5C8C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F0454"/>
    <w:rsid w:val="00CF0FFE"/>
    <w:rsid w:val="00CF1312"/>
    <w:rsid w:val="00CF2D3B"/>
    <w:rsid w:val="00CF2D94"/>
    <w:rsid w:val="00CF5ED5"/>
    <w:rsid w:val="00CF64E9"/>
    <w:rsid w:val="00CF77A6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90AB4"/>
    <w:rsid w:val="00D90BB1"/>
    <w:rsid w:val="00D91D3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07D4"/>
    <w:rsid w:val="00DC1DCA"/>
    <w:rsid w:val="00DC2B75"/>
    <w:rsid w:val="00DC2BA4"/>
    <w:rsid w:val="00DC2BE8"/>
    <w:rsid w:val="00DC4409"/>
    <w:rsid w:val="00DC504B"/>
    <w:rsid w:val="00DC6B30"/>
    <w:rsid w:val="00DD0530"/>
    <w:rsid w:val="00DD3F18"/>
    <w:rsid w:val="00DD428D"/>
    <w:rsid w:val="00DD4536"/>
    <w:rsid w:val="00DD620F"/>
    <w:rsid w:val="00DD638E"/>
    <w:rsid w:val="00DE04EB"/>
    <w:rsid w:val="00DE1628"/>
    <w:rsid w:val="00DE241F"/>
    <w:rsid w:val="00DE24DE"/>
    <w:rsid w:val="00DE2A30"/>
    <w:rsid w:val="00DE48F3"/>
    <w:rsid w:val="00DE59B5"/>
    <w:rsid w:val="00DE5BA0"/>
    <w:rsid w:val="00DE5F2E"/>
    <w:rsid w:val="00DF19D5"/>
    <w:rsid w:val="00DF209D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44DD"/>
    <w:rsid w:val="00E0473D"/>
    <w:rsid w:val="00E10725"/>
    <w:rsid w:val="00E10B44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46D3"/>
    <w:rsid w:val="00E64A39"/>
    <w:rsid w:val="00E65D18"/>
    <w:rsid w:val="00E66ED7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8F4"/>
    <w:rsid w:val="00FE1A28"/>
    <w:rsid w:val="00FE1E64"/>
    <w:rsid w:val="00FE1F50"/>
    <w:rsid w:val="00FE20AA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3583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150</cp:revision>
  <cp:lastPrinted>2013-11-13T17:33:00Z</cp:lastPrinted>
  <dcterms:created xsi:type="dcterms:W3CDTF">2021-12-10T13:21:00Z</dcterms:created>
  <dcterms:modified xsi:type="dcterms:W3CDTF">2022-03-28T19:09:00Z</dcterms:modified>
</cp:coreProperties>
</file>