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F859EA2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D82006">
        <w:rPr>
          <w:rFonts w:eastAsia="MS Mincho"/>
          <w:b/>
          <w:sz w:val="24"/>
          <w:szCs w:val="24"/>
          <w:u w:val="single"/>
          <w:lang w:val="en-GB"/>
        </w:rPr>
        <w:t>2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3843098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035314">
        <w:rPr>
          <w:rFonts w:eastAsia="MS Mincho"/>
          <w:sz w:val="24"/>
          <w:szCs w:val="24"/>
          <w:lang w:val="en-GB"/>
        </w:rPr>
        <w:t>14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025608">
        <w:rPr>
          <w:rFonts w:eastAsia="MS Mincho"/>
          <w:sz w:val="24"/>
          <w:szCs w:val="24"/>
          <w:lang w:val="en-GB"/>
        </w:rPr>
        <w:t>February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22181" w:rsidRPr="00C45E6D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FED3917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237E59">
        <w:rPr>
          <w:rFonts w:eastAsia="MS Mincho"/>
          <w:b/>
          <w:sz w:val="24"/>
          <w:szCs w:val="24"/>
          <w:lang w:val="en-GB"/>
        </w:rPr>
        <w:t>S</w:t>
      </w:r>
      <w:r w:rsidR="005E63D8">
        <w:rPr>
          <w:rFonts w:eastAsia="MS Mincho"/>
          <w:b/>
          <w:sz w:val="24"/>
          <w:szCs w:val="24"/>
          <w:lang w:val="en-GB"/>
        </w:rPr>
        <w:t>u</w:t>
      </w:r>
      <w:r w:rsidR="00237E59">
        <w:rPr>
          <w:rFonts w:eastAsia="MS Mincho"/>
          <w:b/>
          <w:sz w:val="24"/>
          <w:szCs w:val="24"/>
          <w:lang w:val="en-GB"/>
        </w:rPr>
        <w:t>pracumulative cross sectio</w:t>
      </w:r>
      <w:r w:rsidR="008605CE">
        <w:rPr>
          <w:rFonts w:eastAsia="MS Mincho"/>
          <w:b/>
          <w:sz w:val="24"/>
          <w:szCs w:val="24"/>
          <w:lang w:val="en-GB"/>
        </w:rPr>
        <w:t>n</w:t>
      </w:r>
    </w:p>
    <w:p w14:paraId="1BDE1813" w14:textId="77777777" w:rsidR="00131F07" w:rsidRDefault="00131F0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D5AB8CD" w14:textId="2814C6A7" w:rsidR="00237E59" w:rsidRDefault="002C3B4D" w:rsidP="00B80A75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237E59">
        <w:rPr>
          <w:rFonts w:eastAsia="MS Mincho"/>
          <w:b/>
          <w:bCs/>
          <w:noProof/>
          <w:snapToGrid w:val="0"/>
          <w:sz w:val="24"/>
          <w:u w:val="single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5250C" wp14:editId="29F27FAD">
                <wp:simplePos x="0" y="0"/>
                <wp:positionH relativeFrom="margin">
                  <wp:align>right</wp:align>
                </wp:positionH>
                <wp:positionV relativeFrom="paragraph">
                  <wp:posOffset>746125</wp:posOffset>
                </wp:positionV>
                <wp:extent cx="57213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804B" w14:textId="77777777" w:rsidR="00237E59" w:rsidRPr="00237E59" w:rsidRDefault="00237E59" w:rsidP="00237E59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Supracumulative Cross Section</w:t>
                            </w:r>
                          </w:p>
                          <w:p w14:paraId="4FC98FF7" w14:textId="77777777" w:rsidR="00237E59" w:rsidRPr="00237E59" w:rsidRDefault="00237E59" w:rsidP="00237E59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This term is sometimes used for the situation that the observed cross section is bigger than the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‘actual’ cumulative cross section because production of the measured nuclide continues after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the end of irradiation. Many relevant publications do not make this distinction and no special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EXFOR code for it exists so far; if such data are compiled, explanation in free text is needed.</w:t>
                            </w:r>
                          </w:p>
                          <w:p w14:paraId="02A4E4F4" w14:textId="77777777" w:rsidR="00237E59" w:rsidRDefault="00237E59" w:rsidP="00237E59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17DF4267" w14:textId="7017F439" w:rsidR="00237E59" w:rsidRPr="00237E59" w:rsidRDefault="00237E59" w:rsidP="00237E59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See e.g., </w:t>
                            </w:r>
                            <w:proofErr w:type="spellStart"/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Yu.E</w:t>
                            </w:r>
                            <w:proofErr w:type="spellEnd"/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. Titarenko et al., Phys. Rev. C65(2002)064610, and INDC(CCP)-434, pp. 7-15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(2003).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52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58.75pt;width:45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8U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">
                <v:textbox style="mso-fit-shape-to-text:t">
                  <w:txbxContent>
                    <w:p w14:paraId="295F804B" w14:textId="77777777" w:rsidR="00237E59" w:rsidRPr="00237E59" w:rsidRDefault="00237E59" w:rsidP="00237E59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proofErr w:type="spellStart"/>
                      <w:r w:rsidRPr="00237E59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Supracumulative</w:t>
                      </w:r>
                      <w:proofErr w:type="spellEnd"/>
                      <w:r w:rsidRPr="00237E59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 xml:space="preserve"> Cross Section</w:t>
                      </w:r>
                    </w:p>
                    <w:p w14:paraId="4FC98FF7" w14:textId="77777777" w:rsidR="00237E59" w:rsidRPr="00237E59" w:rsidRDefault="00237E59" w:rsidP="00237E59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This term is sometimes used for the situation that the observed cross section is bigger than the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‘actual’ cumulative cross section because production of the measured nuclide continues after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the end of irradiation. Many relevant publications do not make this distinction and no special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EXFOR code for it exists so far; if such data are compiled, explanation in free text is needed.</w:t>
                      </w:r>
                    </w:p>
                    <w:p w14:paraId="02A4E4F4" w14:textId="77777777" w:rsidR="00237E59" w:rsidRDefault="00237E59" w:rsidP="00237E59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17DF4267" w14:textId="7017F439" w:rsidR="00237E59" w:rsidRPr="00237E59" w:rsidRDefault="00237E59" w:rsidP="00237E59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See e.g., </w:t>
                      </w:r>
                      <w:proofErr w:type="spellStart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Yu.E</w:t>
                      </w:r>
                      <w:proofErr w:type="spellEnd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. </w:t>
                      </w:r>
                      <w:proofErr w:type="spellStart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Titarenko</w:t>
                      </w:r>
                      <w:proofErr w:type="spellEnd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et al., Phys. Rev. C65(2002)064610, and INDC(CCP)-434, pp. 7-15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(2003).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E59">
        <w:rPr>
          <w:rFonts w:eastAsia="MS Mincho"/>
          <w:snapToGrid w:val="0"/>
          <w:sz w:val="24"/>
          <w:lang w:val="en-GB" w:eastAsia="ja-JP"/>
        </w:rPr>
        <w:t>LEXFOR “</w:t>
      </w:r>
      <w:r w:rsidR="00237E59" w:rsidRPr="00237E59">
        <w:rPr>
          <w:rFonts w:eastAsia="MS Mincho"/>
          <w:snapToGrid w:val="0"/>
          <w:sz w:val="24"/>
          <w:lang w:val="en-GB" w:eastAsia="ja-JP"/>
        </w:rPr>
        <w:t>Independent and Cumulative Data</w:t>
      </w:r>
      <w:r w:rsidR="00237E59">
        <w:rPr>
          <w:rFonts w:eastAsia="MS Mincho"/>
          <w:snapToGrid w:val="0"/>
          <w:sz w:val="24"/>
          <w:lang w:val="en-GB" w:eastAsia="ja-JP"/>
        </w:rPr>
        <w:t xml:space="preserve">” </w:t>
      </w:r>
      <w:r w:rsidR="0027587D">
        <w:rPr>
          <w:rFonts w:eastAsia="MS Mincho"/>
          <w:snapToGrid w:val="0"/>
          <w:sz w:val="24"/>
          <w:lang w:val="en-GB" w:eastAsia="ja-JP"/>
        </w:rPr>
        <w:t>introduces</w:t>
      </w:r>
      <w:r w:rsidR="00662598">
        <w:rPr>
          <w:rFonts w:eastAsia="MS Mincho"/>
          <w:snapToGrid w:val="0"/>
          <w:sz w:val="24"/>
          <w:lang w:val="en-GB" w:eastAsia="ja-JP"/>
        </w:rPr>
        <w:t xml:space="preserve"> the </w:t>
      </w:r>
      <w:r w:rsidR="00237E59">
        <w:rPr>
          <w:rFonts w:eastAsia="MS Mincho"/>
          <w:snapToGrid w:val="0"/>
          <w:sz w:val="24"/>
          <w:lang w:val="en-GB" w:eastAsia="ja-JP"/>
        </w:rPr>
        <w:t>“supracumulative cross section”</w:t>
      </w:r>
      <w:r w:rsidR="00662598">
        <w:rPr>
          <w:rFonts w:eastAsia="MS Mincho"/>
          <w:snapToGrid w:val="0"/>
          <w:sz w:val="24"/>
          <w:lang w:val="en-GB" w:eastAsia="ja-JP"/>
        </w:rPr>
        <w:t xml:space="preserve"> in the following paragraph:</w:t>
      </w:r>
    </w:p>
    <w:p w14:paraId="7DFA6AC9" w14:textId="77777777" w:rsidR="0038396F" w:rsidRDefault="0038396F" w:rsidP="0038396F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</w:p>
    <w:p w14:paraId="61A1A1B6" w14:textId="7F80363F" w:rsidR="0038396F" w:rsidRDefault="0038396F" w:rsidP="0038396F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237E59">
        <w:rPr>
          <w:rFonts w:eastAsia="MS Mincho"/>
          <w:b/>
          <w:bCs/>
          <w:noProof/>
          <w:snapToGrid w:val="0"/>
          <w:sz w:val="24"/>
          <w:u w:val="single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01BF37" wp14:editId="00572613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5721350" cy="1404620"/>
                <wp:effectExtent l="0" t="0" r="1270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5690" w14:textId="77777777" w:rsidR="006F7C48" w:rsidRPr="00237E59" w:rsidRDefault="006F7C48" w:rsidP="006F7C4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b/>
                                <w:bCs/>
                                <w:snapToGrid w:val="0"/>
                                <w:sz w:val="24"/>
                                <w:u w:val="single"/>
                                <w:lang w:val="en-GB" w:eastAsia="ja-JP"/>
                              </w:rPr>
                              <w:t>Supracumulative Cross Section</w:t>
                            </w:r>
                          </w:p>
                          <w:p w14:paraId="07ACA410" w14:textId="42961484" w:rsidR="006F7C48" w:rsidRPr="00237E59" w:rsidRDefault="006F7C48" w:rsidP="006F7C4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This term is sometimes used for the situation that the observed cross section is bigger than the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‘actual’ cumulative cross section because production of the measured nuclide continues after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the end of irradiation.</w:t>
                            </w:r>
                            <w:r w:rsidR="00E71300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E71300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Th</w:t>
                            </w:r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e supracumulative cross section determined by </w:t>
                            </w:r>
                            <w:r w:rsidR="00A53606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the ground state activity </w:t>
                            </w:r>
                            <w:r w:rsid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measured after complete decay of the metastable state</w:t>
                            </w:r>
                            <w:r w:rsidR="00A53606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is </w:t>
                            </w:r>
                            <w:proofErr w:type="spell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σ</w:t>
                            </w:r>
                            <w:proofErr w:type="gram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dir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perscript"/>
                                <w:lang w:val="en-GB" w:eastAsia="ja-JP"/>
                              </w:rPr>
                              <w:t>Ag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J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)+ </w:t>
                            </w:r>
                            <w:r w:rsidR="00CA50C9" w:rsidRPr="00EE0D83">
                              <w:rPr>
                                <w:rFonts w:eastAsia="MS Mincho"/>
                                <w:i/>
                                <w:i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a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σ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dir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(</w:t>
                            </w:r>
                            <w:proofErr w:type="spell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perscript"/>
                                <w:lang w:val="en-GB" w:eastAsia="ja-JP"/>
                              </w:rPr>
                              <w:t>Am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J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) with </w:t>
                            </w:r>
                            <w:r w:rsidR="00CA50C9" w:rsidRPr="00EE0D83">
                              <w:rPr>
                                <w:rFonts w:eastAsia="MS Mincho"/>
                                <w:i/>
                                <w:i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a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=</w:t>
                            </w:r>
                            <w:r w:rsidR="004E1A1D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4E1A1D" w:rsidRPr="00EE0D83">
                              <w:rPr>
                                <w:rFonts w:eastAsia="MS Mincho"/>
                                <w:i/>
                                <w:i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f</w:t>
                            </w:r>
                            <w:r w:rsidR="004E1A1D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m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/(</w:t>
                            </w:r>
                            <w:proofErr w:type="spellStart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30662C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m</w:t>
                            </w:r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-λ</w:t>
                            </w:r>
                            <w:r w:rsidR="0030662C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g</w:t>
                            </w:r>
                            <w:proofErr w:type="spellEnd"/>
                            <w:r w:rsidR="00CA50C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)</w:t>
                            </w:r>
                            <w:r w:rsidR="00A53606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when </w:t>
                            </w:r>
                            <w:proofErr w:type="spellStart"/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g</w:t>
                            </w:r>
                            <w:proofErr w:type="spellEnd"/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&lt; </w:t>
                            </w:r>
                            <w:proofErr w:type="spellStart"/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m</w:t>
                            </w:r>
                            <w:proofErr w:type="spellEnd"/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and there is no precursor nuclide</w:t>
                            </w:r>
                            <w:r w:rsidR="004E1A1D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(</w:t>
                            </w:r>
                            <w:r w:rsidR="004E1A1D" w:rsidRPr="00EE0D83">
                              <w:rPr>
                                <w:rFonts w:eastAsia="MS Mincho"/>
                                <w:i/>
                                <w:i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f</w:t>
                            </w:r>
                            <w:r w:rsidR="004E1A1D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: isomeric transition probability)</w:t>
                            </w:r>
                            <w:r w:rsidR="005D02E4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.</w:t>
                            </w:r>
                            <w:r w:rsidR="00E43D46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BF2B92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It approximate the ‘actual’ cumulative cross section when</w:t>
                            </w:r>
                            <w:r w:rsidR="00D9294B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σ</w:t>
                            </w:r>
                            <w:proofErr w:type="gramStart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dir</w:t>
                            </w:r>
                            <w:proofErr w:type="spellEnd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perscript"/>
                                <w:lang w:val="en-GB" w:eastAsia="ja-JP"/>
                              </w:rPr>
                              <w:t>Ag</w:t>
                            </w:r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J</w:t>
                            </w:r>
                            <w:proofErr w:type="spellEnd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)</w:t>
                            </w:r>
                            <w:r w:rsidR="00C7431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17769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&gt;&gt;</w:t>
                            </w:r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="00FE4488">
                              <w:rPr>
                                <w:rFonts w:eastAsia="MS Mincho"/>
                                <w:i/>
                                <w:iCs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f</w:t>
                            </w:r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proofErr w:type="spellStart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σ</w:t>
                            </w:r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dir</w:t>
                            </w:r>
                            <w:proofErr w:type="spellEnd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(</w:t>
                            </w:r>
                            <w:proofErr w:type="spellStart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perscript"/>
                                <w:lang w:val="en-GB" w:eastAsia="ja-JP"/>
                              </w:rPr>
                              <w:t>Am</w:t>
                            </w:r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J</w:t>
                            </w:r>
                            <w:proofErr w:type="spellEnd"/>
                            <w:r w:rsidR="00BF45CC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) </w:t>
                            </w:r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or </w:t>
                            </w:r>
                            <w:proofErr w:type="spellStart"/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g</w:t>
                            </w:r>
                            <w:proofErr w:type="spellEnd"/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 &lt;&lt; </w:t>
                            </w:r>
                            <w:proofErr w:type="spellStart"/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>λ</w:t>
                            </w:r>
                            <w:r w:rsidR="00EE0D83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vertAlign w:val="subscript"/>
                                <w:lang w:val="en-GB" w:eastAsia="ja-JP"/>
                              </w:rPr>
                              <w:t>m</w:t>
                            </w:r>
                            <w:proofErr w:type="spellEnd"/>
                            <w:r w:rsidR="00C74319" w:rsidRPr="00EE0D83">
                              <w:rPr>
                                <w:rFonts w:eastAsia="MS Mincho"/>
                                <w:snapToGrid w:val="0"/>
                                <w:color w:val="FF0000"/>
                                <w:sz w:val="24"/>
                                <w:lang w:val="en-GB" w:eastAsia="ja-JP"/>
                              </w:rPr>
                              <w:t xml:space="preserve">.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Many relevant publications do not make this distinction and no special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EXFOR code for it exists so far; if such data are compiled, explanation in free text is needed.</w:t>
                            </w:r>
                            <w:r w:rsidR="00E43D46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338A86FB" w14:textId="77777777" w:rsidR="006F7C48" w:rsidRDefault="006F7C48" w:rsidP="006F7C4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</w:p>
                          <w:p w14:paraId="05E4D64F" w14:textId="5018B369" w:rsidR="006F7C48" w:rsidRPr="00237E59" w:rsidRDefault="006F7C48" w:rsidP="006F7C48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</w:pP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See e.g., </w:t>
                            </w:r>
                            <w:proofErr w:type="spellStart"/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Yu.E</w:t>
                            </w:r>
                            <w:proofErr w:type="spellEnd"/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. Titarenko et al., Phys. Rev. C65(2002)064610, and INDC(CCP)-434, pp. 7-15</w:t>
                            </w:r>
                            <w:r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 xml:space="preserve"> </w:t>
                            </w:r>
                            <w:r w:rsidRPr="00237E59">
                              <w:rPr>
                                <w:rFonts w:eastAsia="MS Mincho"/>
                                <w:snapToGrid w:val="0"/>
                                <w:sz w:val="24"/>
                                <w:lang w:val="en-GB" w:eastAsia="ja-JP"/>
                              </w:rPr>
                              <w:t>(2003).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1BF37" id="_x0000_s1027" type="#_x0000_t202" style="position:absolute;left:0;text-align:left;margin-left:399.3pt;margin-top:31.85pt;width:450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">
                <v:textbox style="mso-fit-shape-to-text:t">
                  <w:txbxContent>
                    <w:p w14:paraId="35D35690" w14:textId="77777777" w:rsidR="006F7C48" w:rsidRPr="00237E59" w:rsidRDefault="006F7C48" w:rsidP="006F7C48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</w:pPr>
                      <w:proofErr w:type="spellStart"/>
                      <w:r w:rsidRPr="00237E59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>Supracumulative</w:t>
                      </w:r>
                      <w:proofErr w:type="spellEnd"/>
                      <w:r w:rsidRPr="00237E59">
                        <w:rPr>
                          <w:rFonts w:eastAsia="MS Mincho"/>
                          <w:b/>
                          <w:bCs/>
                          <w:snapToGrid w:val="0"/>
                          <w:sz w:val="24"/>
                          <w:u w:val="single"/>
                          <w:lang w:val="en-GB" w:eastAsia="ja-JP"/>
                        </w:rPr>
                        <w:t xml:space="preserve"> Cross Section</w:t>
                      </w:r>
                    </w:p>
                    <w:p w14:paraId="07ACA410" w14:textId="42961484" w:rsidR="006F7C48" w:rsidRPr="00237E59" w:rsidRDefault="006F7C48" w:rsidP="006F7C48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This term is sometimes used for the situation that the observed cross section is bigger than the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‘actual’ cumulative cross section because production of the measured nuclide continues after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the end of irradiation.</w:t>
                      </w:r>
                      <w:r w:rsidR="00E71300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="00E71300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Th</w:t>
                      </w:r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e </w:t>
                      </w:r>
                      <w:proofErr w:type="spellStart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supracumulative</w:t>
                      </w:r>
                      <w:proofErr w:type="spellEnd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cross section determined by </w:t>
                      </w:r>
                      <w:r w:rsidR="00A53606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the ground state activity </w:t>
                      </w:r>
                      <w:r w:rsid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measured after complete decay of the metastable state</w:t>
                      </w:r>
                      <w:r w:rsidR="00A53606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is </w:t>
                      </w:r>
                      <w:proofErr w:type="spell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σ</w:t>
                      </w:r>
                      <w:proofErr w:type="gram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dir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(</w:t>
                      </w:r>
                      <w:proofErr w:type="spellStart"/>
                      <w:proofErr w:type="gram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perscript"/>
                          <w:lang w:val="en-GB" w:eastAsia="ja-JP"/>
                        </w:rPr>
                        <w:t>Ag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J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)+ </w:t>
                      </w:r>
                      <w:r w:rsidR="00CA50C9" w:rsidRPr="00EE0D83">
                        <w:rPr>
                          <w:rFonts w:eastAsia="MS Mincho"/>
                          <w:i/>
                          <w:i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a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σ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dir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(</w:t>
                      </w:r>
                      <w:proofErr w:type="spell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perscript"/>
                          <w:lang w:val="en-GB" w:eastAsia="ja-JP"/>
                        </w:rPr>
                        <w:t>Am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J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) with </w:t>
                      </w:r>
                      <w:r w:rsidR="00CA50C9" w:rsidRPr="00EE0D83">
                        <w:rPr>
                          <w:rFonts w:eastAsia="MS Mincho"/>
                          <w:i/>
                          <w:i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a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=</w:t>
                      </w:r>
                      <w:r w:rsidR="004E1A1D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4E1A1D" w:rsidRPr="00EE0D83">
                        <w:rPr>
                          <w:rFonts w:eastAsia="MS Mincho"/>
                          <w:i/>
                          <w:i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f</w:t>
                      </w:r>
                      <w:r w:rsidR="004E1A1D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m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/(</w:t>
                      </w:r>
                      <w:proofErr w:type="spellStart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30662C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m</w:t>
                      </w:r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-λ</w:t>
                      </w:r>
                      <w:r w:rsidR="0030662C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g</w:t>
                      </w:r>
                      <w:proofErr w:type="spellEnd"/>
                      <w:r w:rsidR="00CA50C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)</w:t>
                      </w:r>
                      <w:r w:rsidR="00A53606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when </w:t>
                      </w:r>
                      <w:proofErr w:type="spellStart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g</w:t>
                      </w:r>
                      <w:proofErr w:type="spellEnd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&lt; </w:t>
                      </w:r>
                      <w:proofErr w:type="spellStart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m</w:t>
                      </w:r>
                      <w:proofErr w:type="spellEnd"/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and there is no precursor nuclide</w:t>
                      </w:r>
                      <w:r w:rsidR="004E1A1D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(</w:t>
                      </w:r>
                      <w:r w:rsidR="004E1A1D" w:rsidRPr="00EE0D83">
                        <w:rPr>
                          <w:rFonts w:eastAsia="MS Mincho"/>
                          <w:i/>
                          <w:i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f</w:t>
                      </w:r>
                      <w:r w:rsidR="004E1A1D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: isomeric transition probability)</w:t>
                      </w:r>
                      <w:r w:rsidR="005D02E4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.</w:t>
                      </w:r>
                      <w:r w:rsidR="00E43D46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BF2B92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It approximate the ‘actual’ cumulative cross section when</w:t>
                      </w:r>
                      <w:r w:rsidR="00D9294B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σ</w:t>
                      </w:r>
                      <w:proofErr w:type="gramStart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dir</w:t>
                      </w:r>
                      <w:proofErr w:type="spellEnd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(</w:t>
                      </w:r>
                      <w:proofErr w:type="spellStart"/>
                      <w:proofErr w:type="gramEnd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perscript"/>
                          <w:lang w:val="en-GB" w:eastAsia="ja-JP"/>
                        </w:rPr>
                        <w:t>Ag</w:t>
                      </w:r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J</w:t>
                      </w:r>
                      <w:proofErr w:type="spellEnd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)</w:t>
                      </w:r>
                      <w:r w:rsidR="00C7431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17769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&gt;&gt;</w:t>
                      </w:r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r w:rsidR="00FE4488">
                        <w:rPr>
                          <w:rFonts w:eastAsia="MS Mincho"/>
                          <w:i/>
                          <w:iCs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f</w:t>
                      </w:r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</w:t>
                      </w:r>
                      <w:proofErr w:type="spellStart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σ</w:t>
                      </w:r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dir</w:t>
                      </w:r>
                      <w:proofErr w:type="spellEnd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(</w:t>
                      </w:r>
                      <w:proofErr w:type="spellStart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perscript"/>
                          <w:lang w:val="en-GB" w:eastAsia="ja-JP"/>
                        </w:rPr>
                        <w:t>Am</w:t>
                      </w:r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J</w:t>
                      </w:r>
                      <w:proofErr w:type="spellEnd"/>
                      <w:r w:rsidR="00BF45CC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) </w:t>
                      </w:r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or </w:t>
                      </w:r>
                      <w:proofErr w:type="spellStart"/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g</w:t>
                      </w:r>
                      <w:proofErr w:type="spellEnd"/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 &lt;&lt; </w:t>
                      </w:r>
                      <w:proofErr w:type="spellStart"/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>λ</w:t>
                      </w:r>
                      <w:r w:rsidR="00EE0D83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vertAlign w:val="subscript"/>
                          <w:lang w:val="en-GB" w:eastAsia="ja-JP"/>
                        </w:rPr>
                        <w:t>m</w:t>
                      </w:r>
                      <w:proofErr w:type="spellEnd"/>
                      <w:r w:rsidR="00C74319" w:rsidRPr="00EE0D83">
                        <w:rPr>
                          <w:rFonts w:eastAsia="MS Mincho"/>
                          <w:snapToGrid w:val="0"/>
                          <w:color w:val="FF0000"/>
                          <w:sz w:val="24"/>
                          <w:lang w:val="en-GB" w:eastAsia="ja-JP"/>
                        </w:rPr>
                        <w:t xml:space="preserve">.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Many relevant publications do not make this distinction and no special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EXFOR code for it exists so far; if such data are compiled, explanation in free text is needed.</w:t>
                      </w:r>
                      <w:r w:rsidR="00E43D46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</w:p>
                    <w:p w14:paraId="338A86FB" w14:textId="77777777" w:rsidR="006F7C48" w:rsidRDefault="006F7C48" w:rsidP="006F7C48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</w:p>
                    <w:p w14:paraId="05E4D64F" w14:textId="5018B369" w:rsidR="006F7C48" w:rsidRPr="00237E59" w:rsidRDefault="006F7C48" w:rsidP="006F7C48">
                      <w:pPr>
                        <w:tabs>
                          <w:tab w:val="left" w:pos="993"/>
                        </w:tabs>
                        <w:jc w:val="both"/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</w:pP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See e.g., </w:t>
                      </w:r>
                      <w:proofErr w:type="spellStart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Yu.E</w:t>
                      </w:r>
                      <w:proofErr w:type="spellEnd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. </w:t>
                      </w:r>
                      <w:proofErr w:type="spellStart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Titarenko</w:t>
                      </w:r>
                      <w:proofErr w:type="spellEnd"/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et al., Phys. Rev. C65(2002)064610, and INDC(CCP)-434, pp. 7-15</w:t>
                      </w:r>
                      <w:r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 xml:space="preserve"> </w:t>
                      </w:r>
                      <w:r w:rsidRPr="00237E59">
                        <w:rPr>
                          <w:rFonts w:eastAsia="MS Mincho"/>
                          <w:snapToGrid w:val="0"/>
                          <w:sz w:val="24"/>
                          <w:lang w:val="en-GB" w:eastAsia="ja-JP"/>
                        </w:rPr>
                        <w:t>(2003).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MS Mincho"/>
          <w:snapToGrid w:val="0"/>
          <w:sz w:val="24"/>
          <w:lang w:val="en-GB" w:eastAsia="ja-JP"/>
        </w:rPr>
        <w:t>I suggest addition a few equations to define the supracumulative cross section more clearly.</w:t>
      </w:r>
    </w:p>
    <w:p w14:paraId="31C806A6" w14:textId="19095043" w:rsidR="0038396F" w:rsidRDefault="0038396F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</w:p>
    <w:p w14:paraId="1558E618" w14:textId="68622A2D" w:rsidR="00E71300" w:rsidRDefault="00E71300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Two remarks:</w:t>
      </w:r>
    </w:p>
    <w:p w14:paraId="18F8F550" w14:textId="5ACB46D5" w:rsidR="00E71300" w:rsidRPr="00E71300" w:rsidRDefault="00E71300" w:rsidP="00E71300">
      <w:pPr>
        <w:pStyle w:val="ListParagraph"/>
        <w:numPr>
          <w:ilvl w:val="0"/>
          <w:numId w:val="23"/>
        </w:num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E71300">
        <w:rPr>
          <w:bCs/>
          <w:sz w:val="24"/>
          <w:szCs w:val="24"/>
          <w:lang w:val="en-GB" w:eastAsia="ja-JP"/>
        </w:rPr>
        <w:t xml:space="preserve">This implies the coefficient </w:t>
      </w:r>
      <w:r w:rsidRPr="00E71300">
        <w:rPr>
          <w:bCs/>
          <w:i/>
          <w:iCs/>
          <w:sz w:val="24"/>
          <w:szCs w:val="24"/>
          <w:lang w:val="en-GB" w:eastAsia="ja-JP"/>
        </w:rPr>
        <w:t>a</w:t>
      </w:r>
      <w:r w:rsidRPr="00E71300">
        <w:rPr>
          <w:bCs/>
          <w:sz w:val="24"/>
          <w:szCs w:val="24"/>
          <w:lang w:val="en-GB" w:eastAsia="ja-JP"/>
        </w:rPr>
        <w:t xml:space="preserve"> defined in LEXFOR can be larger than 1 because of the factor </w:t>
      </w:r>
      <w:proofErr w:type="spellStart"/>
      <w:r w:rsidRPr="00E71300">
        <w:rPr>
          <w:rFonts w:eastAsia="MS Mincho"/>
          <w:snapToGrid w:val="0"/>
          <w:sz w:val="24"/>
          <w:lang w:val="en-GB" w:eastAsia="ja-JP"/>
        </w:rPr>
        <w:t>λ</w:t>
      </w:r>
      <w:r w:rsidRPr="00E71300">
        <w:rPr>
          <w:rFonts w:eastAsia="MS Mincho"/>
          <w:snapToGrid w:val="0"/>
          <w:sz w:val="24"/>
          <w:vertAlign w:val="subscript"/>
          <w:lang w:val="en-GB" w:eastAsia="ja-JP"/>
        </w:rPr>
        <w:t>m</w:t>
      </w:r>
      <w:proofErr w:type="spellEnd"/>
      <w:r w:rsidRPr="00E71300">
        <w:rPr>
          <w:rFonts w:eastAsia="MS Mincho"/>
          <w:snapToGrid w:val="0"/>
          <w:sz w:val="24"/>
          <w:lang w:val="en-GB" w:eastAsia="ja-JP"/>
        </w:rPr>
        <w:t>/(</w:t>
      </w:r>
      <w:proofErr w:type="spellStart"/>
      <w:r w:rsidRPr="00E71300">
        <w:rPr>
          <w:rFonts w:eastAsia="MS Mincho"/>
          <w:snapToGrid w:val="0"/>
          <w:sz w:val="24"/>
          <w:lang w:val="en-GB" w:eastAsia="ja-JP"/>
        </w:rPr>
        <w:t>λ</w:t>
      </w:r>
      <w:r w:rsidR="0030662C">
        <w:rPr>
          <w:rFonts w:eastAsia="MS Mincho"/>
          <w:snapToGrid w:val="0"/>
          <w:sz w:val="24"/>
          <w:vertAlign w:val="subscript"/>
          <w:lang w:val="en-GB" w:eastAsia="ja-JP"/>
        </w:rPr>
        <w:t>m</w:t>
      </w:r>
      <w:r w:rsidRPr="00E71300">
        <w:rPr>
          <w:rFonts w:eastAsia="MS Mincho"/>
          <w:snapToGrid w:val="0"/>
          <w:sz w:val="24"/>
          <w:lang w:val="en-GB" w:eastAsia="ja-JP"/>
        </w:rPr>
        <w:t>-λ</w:t>
      </w:r>
      <w:r w:rsidR="0030662C">
        <w:rPr>
          <w:rFonts w:eastAsia="MS Mincho"/>
          <w:snapToGrid w:val="0"/>
          <w:sz w:val="24"/>
          <w:vertAlign w:val="subscript"/>
          <w:lang w:val="en-GB" w:eastAsia="ja-JP"/>
        </w:rPr>
        <w:t>g</w:t>
      </w:r>
      <w:proofErr w:type="spellEnd"/>
      <w:r w:rsidRPr="00E71300">
        <w:rPr>
          <w:rFonts w:eastAsia="MS Mincho"/>
          <w:snapToGrid w:val="0"/>
          <w:sz w:val="24"/>
          <w:lang w:val="en-GB" w:eastAsia="ja-JP"/>
        </w:rPr>
        <w:t>).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</w:p>
    <w:p w14:paraId="63E70BD5" w14:textId="54E0D6EE" w:rsidR="00E71300" w:rsidRPr="00E71300" w:rsidRDefault="00E71300" w:rsidP="00E71300">
      <w:pPr>
        <w:pStyle w:val="ListParagraph"/>
        <w:numPr>
          <w:ilvl w:val="0"/>
          <w:numId w:val="23"/>
        </w:numPr>
        <w:tabs>
          <w:tab w:val="left" w:pos="993"/>
        </w:tabs>
        <w:spacing w:before="240"/>
        <w:jc w:val="both"/>
        <w:rPr>
          <w:sz w:val="24"/>
          <w:szCs w:val="24"/>
        </w:rPr>
      </w:pPr>
      <w:r w:rsidRPr="00E71300">
        <w:rPr>
          <w:bCs/>
          <w:sz w:val="24"/>
          <w:szCs w:val="24"/>
          <w:lang w:val="en-GB" w:eastAsia="ja-JP"/>
        </w:rPr>
        <w:t>Titarenko et al. mentions in the Phys.</w:t>
      </w:r>
      <w:r w:rsidR="00A97DD6">
        <w:rPr>
          <w:bCs/>
          <w:sz w:val="24"/>
          <w:szCs w:val="24"/>
          <w:lang w:val="en-GB" w:eastAsia="ja-JP"/>
        </w:rPr>
        <w:t xml:space="preserve"> </w:t>
      </w:r>
      <w:r w:rsidRPr="00E71300">
        <w:rPr>
          <w:bCs/>
          <w:sz w:val="24"/>
          <w:szCs w:val="24"/>
          <w:lang w:val="en-GB" w:eastAsia="ja-JP"/>
        </w:rPr>
        <w:t>Rev.</w:t>
      </w:r>
      <w:r w:rsidR="00A97DD6">
        <w:rPr>
          <w:bCs/>
          <w:sz w:val="24"/>
          <w:szCs w:val="24"/>
          <w:lang w:val="en-GB" w:eastAsia="ja-JP"/>
        </w:rPr>
        <w:t xml:space="preserve"> </w:t>
      </w:r>
      <w:r w:rsidRPr="00E71300">
        <w:rPr>
          <w:bCs/>
          <w:sz w:val="24"/>
          <w:szCs w:val="24"/>
          <w:lang w:val="en-GB" w:eastAsia="ja-JP"/>
        </w:rPr>
        <w:t xml:space="preserve">C article that </w:t>
      </w:r>
      <w:r w:rsidRPr="00E71300">
        <w:rPr>
          <w:sz w:val="24"/>
          <w:szCs w:val="24"/>
        </w:rPr>
        <w:t xml:space="preserve">the </w:t>
      </w:r>
      <w:r w:rsidR="003F2CFA">
        <w:rPr>
          <w:rFonts w:eastAsia="MS Mincho"/>
          <w:snapToGrid w:val="0"/>
          <w:sz w:val="24"/>
          <w:lang w:val="en-GB" w:eastAsia="ja-JP"/>
        </w:rPr>
        <w:t>supracumulative</w:t>
      </w:r>
      <w:r w:rsidR="003F2CFA" w:rsidRPr="00E71300">
        <w:rPr>
          <w:sz w:val="24"/>
          <w:szCs w:val="24"/>
        </w:rPr>
        <w:t xml:space="preserve"> </w:t>
      </w:r>
      <w:r w:rsidRPr="00E71300">
        <w:rPr>
          <w:sz w:val="24"/>
          <w:szCs w:val="24"/>
        </w:rPr>
        <w:t xml:space="preserve">cross section approximates ‘actual’ cumulative cross section when </w:t>
      </w:r>
      <w:r w:rsidRPr="00E71300">
        <w:rPr>
          <w:sz w:val="24"/>
          <w:szCs w:val="24"/>
          <w:lang w:eastAsia="ja-JP"/>
        </w:rPr>
        <w:t>σ</w:t>
      </w:r>
      <w:r w:rsidRPr="00E71300">
        <w:rPr>
          <w:sz w:val="24"/>
          <w:szCs w:val="24"/>
          <w:vertAlign w:val="subscript"/>
          <w:lang w:eastAsia="ja-JP"/>
        </w:rPr>
        <w:t>2</w:t>
      </w:r>
      <w:r w:rsidRPr="00E71300">
        <w:rPr>
          <w:sz w:val="24"/>
          <w:szCs w:val="24"/>
          <w:vertAlign w:val="superscript"/>
          <w:lang w:eastAsia="ja-JP"/>
        </w:rPr>
        <w:t>ind</w:t>
      </w:r>
      <w:r w:rsidRPr="00E71300">
        <w:rPr>
          <w:sz w:val="24"/>
          <w:szCs w:val="24"/>
          <w:lang w:eastAsia="ja-JP"/>
        </w:rPr>
        <w:t xml:space="preserve"> &lt;&lt;σ</w:t>
      </w:r>
      <w:r w:rsidRPr="00E71300">
        <w:rPr>
          <w:sz w:val="24"/>
          <w:szCs w:val="24"/>
          <w:vertAlign w:val="subscript"/>
          <w:lang w:eastAsia="ja-JP"/>
        </w:rPr>
        <w:t>1</w:t>
      </w:r>
      <w:r w:rsidRPr="00E71300">
        <w:rPr>
          <w:sz w:val="24"/>
          <w:szCs w:val="24"/>
          <w:vertAlign w:val="superscript"/>
          <w:lang w:eastAsia="ja-JP"/>
        </w:rPr>
        <w:t>cum</w:t>
      </w:r>
      <w:r w:rsidRPr="00E71300">
        <w:rPr>
          <w:sz w:val="24"/>
          <w:szCs w:val="24"/>
          <w:lang w:eastAsia="ja-JP"/>
        </w:rPr>
        <w:t>ν</w:t>
      </w:r>
      <w:r w:rsidRPr="00E71300">
        <w:rPr>
          <w:sz w:val="24"/>
          <w:szCs w:val="24"/>
          <w:vertAlign w:val="subscript"/>
          <w:lang w:eastAsia="ja-JP"/>
        </w:rPr>
        <w:t>1</w:t>
      </w:r>
      <w:r w:rsidRPr="00E71300">
        <w:rPr>
          <w:sz w:val="24"/>
          <w:szCs w:val="24"/>
          <w:lang w:eastAsia="ja-JP"/>
        </w:rPr>
        <w:t>, but I believe the inequality symbol must be opposite.</w:t>
      </w:r>
    </w:p>
    <w:p w14:paraId="637CD346" w14:textId="4055B93D" w:rsidR="00E71300" w:rsidRDefault="00E71300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</w:p>
    <w:p w14:paraId="33B0249D" w14:textId="77777777" w:rsidR="00011BA5" w:rsidRDefault="00011BA5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6DCCEC99" w14:textId="1776A9F2" w:rsidR="00C040FE" w:rsidRPr="00C040FE" w:rsidRDefault="00C040FE" w:rsidP="003761DC">
      <w:pPr>
        <w:jc w:val="both"/>
        <w:rPr>
          <w:b/>
          <w:sz w:val="24"/>
          <w:szCs w:val="24"/>
          <w:lang w:val="en-GB" w:eastAsia="ja-JP"/>
        </w:rPr>
      </w:pPr>
      <w:r w:rsidRPr="00C040FE">
        <w:rPr>
          <w:b/>
          <w:sz w:val="24"/>
          <w:szCs w:val="24"/>
          <w:lang w:val="en-GB" w:eastAsia="ja-JP"/>
        </w:rPr>
        <w:t>cc:</w:t>
      </w:r>
    </w:p>
    <w:p w14:paraId="51E8B9CE" w14:textId="664BBB2B" w:rsidR="00624E3C" w:rsidRDefault="00624E3C" w:rsidP="003761DC">
      <w:pPr>
        <w:jc w:val="both"/>
        <w:rPr>
          <w:bCs/>
          <w:sz w:val="24"/>
          <w:szCs w:val="24"/>
          <w:lang w:val="en-GB" w:eastAsia="ja-JP"/>
        </w:rPr>
      </w:pPr>
      <w:r w:rsidRPr="00624E3C">
        <w:rPr>
          <w:bCs/>
          <w:sz w:val="24"/>
          <w:szCs w:val="24"/>
          <w:lang w:val="en-GB" w:eastAsia="ja-JP"/>
        </w:rPr>
        <w:t>alexander.konobeev@kit.edu</w:t>
      </w:r>
    </w:p>
    <w:p w14:paraId="3E62738B" w14:textId="6AE0ECC9" w:rsidR="00C040FE" w:rsidRPr="00C45E6D" w:rsidRDefault="00624E3C" w:rsidP="003761DC">
      <w:pPr>
        <w:jc w:val="both"/>
        <w:rPr>
          <w:bCs/>
          <w:sz w:val="24"/>
          <w:szCs w:val="24"/>
          <w:lang w:val="en-GB" w:eastAsia="ja-JP"/>
        </w:rPr>
      </w:pPr>
      <w:r w:rsidRPr="00624E3C">
        <w:rPr>
          <w:bCs/>
          <w:sz w:val="24"/>
          <w:szCs w:val="24"/>
          <w:lang w:val="en-GB" w:eastAsia="ja-JP"/>
        </w:rPr>
        <w:t>yury.titarenko@itep.ru</w:t>
      </w:r>
    </w:p>
    <w:sectPr w:rsidR="00C040FE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5712" w14:textId="77777777" w:rsidR="00DF2417" w:rsidRDefault="00DF2417">
      <w:r>
        <w:separator/>
      </w:r>
    </w:p>
  </w:endnote>
  <w:endnote w:type="continuationSeparator" w:id="0">
    <w:p w14:paraId="63E31C27" w14:textId="77777777" w:rsidR="00DF2417" w:rsidRDefault="00D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B149" w14:textId="77777777" w:rsidR="00DF2417" w:rsidRDefault="00DF2417">
      <w:r>
        <w:separator/>
      </w:r>
    </w:p>
  </w:footnote>
  <w:footnote w:type="continuationSeparator" w:id="0">
    <w:p w14:paraId="420944C8" w14:textId="77777777" w:rsidR="00DF2417" w:rsidRDefault="00DF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19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20"/>
  </w:num>
  <w:num w:numId="13">
    <w:abstractNumId w:val="5"/>
  </w:num>
  <w:num w:numId="14">
    <w:abstractNumId w:val="9"/>
  </w:num>
  <w:num w:numId="15">
    <w:abstractNumId w:val="21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2"/>
  </w:num>
  <w:num w:numId="22">
    <w:abstractNumId w:val="3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9D8"/>
    <w:rsid w:val="00111C3A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2628C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D11"/>
    <w:rsid w:val="001569AC"/>
    <w:rsid w:val="001571C3"/>
    <w:rsid w:val="001578B2"/>
    <w:rsid w:val="001579F3"/>
    <w:rsid w:val="00157DB8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85C"/>
    <w:rsid w:val="00182A50"/>
    <w:rsid w:val="00182AE3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2146"/>
    <w:rsid w:val="002922B3"/>
    <w:rsid w:val="00292926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838"/>
    <w:rsid w:val="002F5E3B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62C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A91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396F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F32"/>
    <w:rsid w:val="00450346"/>
    <w:rsid w:val="00453095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1A1D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2E4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09B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C48"/>
    <w:rsid w:val="006F7FF0"/>
    <w:rsid w:val="00700B7B"/>
    <w:rsid w:val="00700F94"/>
    <w:rsid w:val="00702EF3"/>
    <w:rsid w:val="00702FC5"/>
    <w:rsid w:val="0070339D"/>
    <w:rsid w:val="00704331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4BE2"/>
    <w:rsid w:val="009E4BF3"/>
    <w:rsid w:val="009E696E"/>
    <w:rsid w:val="009E7305"/>
    <w:rsid w:val="009E77A5"/>
    <w:rsid w:val="009E7E8E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BDD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903B2"/>
    <w:rsid w:val="00B90446"/>
    <w:rsid w:val="00B90B38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2B92"/>
    <w:rsid w:val="00BF45CC"/>
    <w:rsid w:val="00BF4840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67DDA"/>
    <w:rsid w:val="00C67F9D"/>
    <w:rsid w:val="00C708D0"/>
    <w:rsid w:val="00C7169B"/>
    <w:rsid w:val="00C71DE7"/>
    <w:rsid w:val="00C72A07"/>
    <w:rsid w:val="00C7355B"/>
    <w:rsid w:val="00C74319"/>
    <w:rsid w:val="00C748FC"/>
    <w:rsid w:val="00C74A96"/>
    <w:rsid w:val="00C74B67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30"/>
    <w:rsid w:val="00CF5ED5"/>
    <w:rsid w:val="00CF64E9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006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5852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C37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27A38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1828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119</cp:revision>
  <cp:lastPrinted>2013-11-13T17:33:00Z</cp:lastPrinted>
  <dcterms:created xsi:type="dcterms:W3CDTF">2022-01-31T16:59:00Z</dcterms:created>
  <dcterms:modified xsi:type="dcterms:W3CDTF">2022-02-14T12:11:00Z</dcterms:modified>
</cp:coreProperties>
</file>