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8A49" w14:textId="77777777" w:rsidR="00495AD2" w:rsidRDefault="00495AD2" w:rsidP="00495AD2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2E22E850" w14:textId="77777777" w:rsidR="00495AD2" w:rsidRDefault="00495AD2" w:rsidP="00495AD2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0C371E15" w14:textId="77777777" w:rsidR="00495AD2" w:rsidRDefault="00495AD2" w:rsidP="00495AD2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>
        <w:rPr>
          <w:rFonts w:eastAsia="MS Mincho"/>
          <w:b/>
          <w:sz w:val="24"/>
          <w:szCs w:val="24"/>
          <w:lang w:val="en-GB"/>
        </w:rPr>
        <w:t>P.</w:t>
      </w:r>
      <w:proofErr w:type="gramStart"/>
      <w:r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3989B703" w14:textId="77777777" w:rsidR="00495AD2" w:rsidRDefault="00495AD2" w:rsidP="00495AD2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733ECE72" w14:textId="77777777" w:rsidR="00495AD2" w:rsidRDefault="00495AD2" w:rsidP="00495AD2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CP-D/1073</w:t>
      </w:r>
    </w:p>
    <w:p w14:paraId="4B82DBE2" w14:textId="77777777" w:rsidR="00495AD2" w:rsidRDefault="00495AD2" w:rsidP="00495AD2">
      <w:pPr>
        <w:jc w:val="both"/>
        <w:rPr>
          <w:rFonts w:eastAsia="MS Mincho"/>
          <w:sz w:val="24"/>
          <w:szCs w:val="24"/>
          <w:lang w:val="en-GB"/>
        </w:rPr>
      </w:pPr>
    </w:p>
    <w:p w14:paraId="763A394D" w14:textId="77777777" w:rsidR="00495AD2" w:rsidRDefault="00495AD2" w:rsidP="00495AD2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Date: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7 March 2023</w:t>
      </w:r>
    </w:p>
    <w:p w14:paraId="32B534C3" w14:textId="77777777" w:rsidR="00495AD2" w:rsidRDefault="00495AD2" w:rsidP="00495AD2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To: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Distribution</w:t>
      </w:r>
    </w:p>
    <w:p w14:paraId="6CB5E4FE" w14:textId="77777777" w:rsidR="00495AD2" w:rsidRDefault="00495AD2" w:rsidP="00495AD2">
      <w:pPr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b/>
          <w:snapToGrid w:val="0"/>
          <w:sz w:val="24"/>
          <w:szCs w:val="24"/>
          <w:lang w:val="en-GB"/>
        </w:rPr>
        <w:t>From:</w:t>
      </w:r>
      <w:r>
        <w:rPr>
          <w:rFonts w:eastAsia="MS Mincho"/>
          <w:snapToGrid w:val="0"/>
          <w:sz w:val="24"/>
          <w:szCs w:val="24"/>
          <w:lang w:val="en-GB"/>
        </w:rPr>
        <w:tab/>
      </w:r>
      <w:r>
        <w:rPr>
          <w:rFonts w:eastAsia="MS Mincho"/>
          <w:snapToGrid w:val="0"/>
          <w:sz w:val="24"/>
          <w:szCs w:val="24"/>
          <w:lang w:val="en-GB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 xml:space="preserve">V. </w:t>
      </w:r>
      <w:proofErr w:type="spellStart"/>
      <w:r>
        <w:rPr>
          <w:rFonts w:eastAsia="MS Mincho"/>
          <w:snapToGrid w:val="0"/>
          <w:sz w:val="24"/>
          <w:szCs w:val="24"/>
          <w:lang w:val="en-GB" w:eastAsia="ja-JP"/>
        </w:rPr>
        <w:t>Devi,</w:t>
      </w:r>
      <w:proofErr w:type="spellEnd"/>
      <w:r>
        <w:rPr>
          <w:rFonts w:eastAsia="MS Mincho"/>
          <w:snapToGrid w:val="0"/>
          <w:sz w:val="24"/>
          <w:szCs w:val="24"/>
          <w:lang w:val="en-GB" w:eastAsia="ja-JP"/>
        </w:rPr>
        <w:t xml:space="preserve"> N. Otsuka</w:t>
      </w:r>
    </w:p>
    <w:p w14:paraId="191EE168" w14:textId="77777777" w:rsidR="00495AD2" w:rsidRDefault="00495AD2" w:rsidP="00495AD2">
      <w:pPr>
        <w:rPr>
          <w:rFonts w:eastAsia="MS Mincho"/>
          <w:b/>
          <w:bCs/>
          <w:snapToGrid w:val="0"/>
          <w:sz w:val="24"/>
          <w:szCs w:val="24"/>
          <w:lang w:val="en-GB" w:eastAsia="ja-JP"/>
        </w:rPr>
      </w:pPr>
    </w:p>
    <w:p w14:paraId="50BA1372" w14:textId="77777777" w:rsidR="00495AD2" w:rsidRDefault="00495AD2" w:rsidP="00495AD2">
      <w:pPr>
        <w:tabs>
          <w:tab w:val="left" w:pos="993"/>
        </w:tabs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</w:rPr>
        <w:t>Subject: Addition to d</w:t>
      </w:r>
      <w:proofErr w:type="spellStart"/>
      <w:r>
        <w:rPr>
          <w:b/>
          <w:bCs/>
          <w:sz w:val="24"/>
          <w:szCs w:val="24"/>
          <w:lang w:val="en-GB"/>
        </w:rPr>
        <w:t>ictionary</w:t>
      </w:r>
      <w:proofErr w:type="spellEnd"/>
      <w:r>
        <w:rPr>
          <w:b/>
          <w:bCs/>
          <w:sz w:val="24"/>
          <w:szCs w:val="24"/>
          <w:lang w:val="en-GB"/>
        </w:rPr>
        <w:t xml:space="preserve"> 236 (Quantities): PAR/L</w:t>
      </w:r>
      <w:proofErr w:type="gramStart"/>
      <w:r>
        <w:rPr>
          <w:b/>
          <w:bCs/>
          <w:sz w:val="24"/>
          <w:szCs w:val="24"/>
          <w:lang w:val="en-GB"/>
        </w:rPr>
        <w:t>-,DA</w:t>
      </w:r>
      <w:proofErr w:type="gramEnd"/>
      <w:r>
        <w:rPr>
          <w:b/>
          <w:bCs/>
          <w:sz w:val="24"/>
          <w:szCs w:val="24"/>
          <w:lang w:val="en-GB"/>
        </w:rPr>
        <w:t xml:space="preserve">,G and dictionary 31 (Branches) : L- </w:t>
      </w:r>
    </w:p>
    <w:p w14:paraId="0D88CCE4" w14:textId="77777777" w:rsidR="00495AD2" w:rsidRDefault="00495AD2" w:rsidP="00495AD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Reference:</w:t>
      </w:r>
      <w:r>
        <w:rPr>
          <w:color w:val="000000"/>
          <w:sz w:val="27"/>
          <w:szCs w:val="27"/>
        </w:rPr>
        <w:t xml:space="preserve"> Memo CP-D/1057 (Rev.)</w:t>
      </w:r>
    </w:p>
    <w:p w14:paraId="5428FD73" w14:textId="77777777" w:rsidR="00495AD2" w:rsidRDefault="00495AD2" w:rsidP="00495AD2">
      <w:pPr>
        <w:pStyle w:val="NormalWeb"/>
        <w:jc w:val="both"/>
        <w:rPr>
          <w:color w:val="000000"/>
        </w:rPr>
      </w:pPr>
      <w:r>
        <w:rPr>
          <w:color w:val="000000"/>
        </w:rPr>
        <w:t>Memo CP-D/1057 discusses the gamma production following quasi-metastable state production.</w:t>
      </w:r>
    </w:p>
    <w:p w14:paraId="43900E94" w14:textId="77777777" w:rsidR="00495AD2" w:rsidRDefault="00495AD2" w:rsidP="00495AD2">
      <w:pPr>
        <w:pStyle w:val="NormalWeb"/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 xml:space="preserve">Cascade gammas not following quasi-metastable state (“prompt” component)  </w:t>
      </w:r>
    </w:p>
    <w:p w14:paraId="7447C7C4" w14:textId="3783A939" w:rsidR="00495AD2" w:rsidRPr="00495AD2" w:rsidRDefault="00495AD2" w:rsidP="00495AD2">
      <w:pPr>
        <w:pStyle w:val="NormalWeb"/>
        <w:numPr>
          <w:ilvl w:val="0"/>
          <w:numId w:val="1"/>
        </w:numPr>
        <w:jc w:val="both"/>
        <w:rPr>
          <w:bCs/>
          <w:color w:val="000000" w:themeColor="text1"/>
          <w:lang w:eastAsia="en-US"/>
        </w:rPr>
      </w:pPr>
      <w:r>
        <w:rPr>
          <w:bCs/>
          <w:color w:val="000000" w:themeColor="text1"/>
          <w:lang w:eastAsia="en-US"/>
        </w:rPr>
        <w:t xml:space="preserve">Cascade gammas following quasi-metastable state (“delayed” component) </w:t>
      </w:r>
    </w:p>
    <w:p w14:paraId="2EE7F15D" w14:textId="77777777" w:rsidR="00495AD2" w:rsidRDefault="00495AD2" w:rsidP="00495AD2">
      <w:pPr>
        <w:tabs>
          <w:tab w:val="left" w:pos="993"/>
        </w:tabs>
        <w:jc w:val="both"/>
        <w:rPr>
          <w:rFonts w:eastAsia="MS Mincho;ＭＳ 明朝"/>
          <w:lang w:eastAsia="zh-CN"/>
        </w:rPr>
      </w:pPr>
      <w:r>
        <w:rPr>
          <w:sz w:val="24"/>
          <w:szCs w:val="24"/>
          <w:lang w:val="en-GB" w:eastAsia="ja-JP"/>
        </w:rPr>
        <w:t>The following new codes are proposed:</w:t>
      </w:r>
    </w:p>
    <w:p w14:paraId="13234039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b/>
          <w:sz w:val="24"/>
          <w:u w:val="single"/>
          <w:lang w:val="en-GB" w:eastAsia="ja-JP"/>
        </w:rPr>
      </w:pPr>
    </w:p>
    <w:p w14:paraId="4A639077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;ＭＳ 明朝"/>
          <w:lang w:eastAsia="zh-CN"/>
        </w:rPr>
      </w:pPr>
      <w:r>
        <w:rPr>
          <w:rFonts w:eastAsia="MS Mincho"/>
          <w:b/>
          <w:sz w:val="24"/>
          <w:u w:val="single"/>
          <w:lang w:val="en-GB" w:eastAsia="ja-JP"/>
        </w:rPr>
        <w:t>Dictionary 236 (</w:t>
      </w:r>
      <w:r>
        <w:rPr>
          <w:b/>
          <w:bCs/>
          <w:sz w:val="24"/>
          <w:szCs w:val="24"/>
          <w:lang w:val="en-GB"/>
        </w:rPr>
        <w:t>Quantities</w:t>
      </w:r>
      <w:r>
        <w:rPr>
          <w:rFonts w:eastAsia="MS Mincho"/>
          <w:b/>
          <w:sz w:val="24"/>
          <w:u w:val="single"/>
          <w:lang w:val="en-GB" w:eastAsia="ja-JP"/>
        </w:rPr>
        <w:t>)</w:t>
      </w:r>
    </w:p>
    <w:p w14:paraId="68AA0330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b/>
          <w:sz w:val="24"/>
          <w:u w:val="single"/>
          <w:lang w:val="en-GB" w:eastAsia="ja-JP"/>
        </w:rPr>
      </w:pPr>
    </w:p>
    <w:p w14:paraId="5D494019" w14:textId="77777777" w:rsidR="00495AD2" w:rsidRDefault="00495AD2" w:rsidP="00495AD2">
      <w:pPr>
        <w:tabs>
          <w:tab w:val="left" w:pos="993"/>
        </w:tabs>
        <w:jc w:val="both"/>
        <w:rPr>
          <w:rFonts w:eastAsia="MS Mincho"/>
          <w:sz w:val="24"/>
          <w:lang w:val="en-GB" w:eastAsia="ja-JP"/>
        </w:rPr>
      </w:pPr>
      <w:r>
        <w:rPr>
          <w:sz w:val="24"/>
          <w:szCs w:val="24"/>
          <w:lang w:val="en-GB"/>
        </w:rPr>
        <w:t>PAR/L</w:t>
      </w:r>
      <w:proofErr w:type="gramStart"/>
      <w:r>
        <w:rPr>
          <w:sz w:val="24"/>
          <w:szCs w:val="24"/>
          <w:lang w:val="en-GB"/>
        </w:rPr>
        <w:t>-,DA</w:t>
      </w:r>
      <w:proofErr w:type="gramEnd"/>
      <w:r>
        <w:rPr>
          <w:sz w:val="24"/>
          <w:szCs w:val="24"/>
          <w:lang w:val="en-GB"/>
        </w:rPr>
        <w:t>,G</w:t>
      </w:r>
      <w:r>
        <w:rPr>
          <w:rFonts w:eastAsia="MS Mincho"/>
          <w:sz w:val="24"/>
          <w:lang w:val="en-GB" w:eastAsia="ja-JP"/>
        </w:rPr>
        <w:t xml:space="preserve">        Angular distribution of prompt discrete gamma ray transition, excluding </w:t>
      </w:r>
    </w:p>
    <w:p w14:paraId="5E2CDBFE" w14:textId="77777777" w:rsidR="00495AD2" w:rsidRDefault="00495AD2" w:rsidP="00495AD2">
      <w:pPr>
        <w:tabs>
          <w:tab w:val="left" w:pos="993"/>
        </w:tabs>
        <w:jc w:val="both"/>
        <w:rPr>
          <w:rFonts w:eastAsia="MS Mincho"/>
          <w:sz w:val="24"/>
          <w:lang w:val="en-GB" w:eastAsia="ja-JP"/>
        </w:rPr>
      </w:pPr>
      <w:r>
        <w:rPr>
          <w:rFonts w:eastAsia="MS Mincho"/>
          <w:sz w:val="24"/>
          <w:lang w:val="en-GB" w:eastAsia="ja-JP"/>
        </w:rPr>
        <w:t xml:space="preserve">                               formation via quasi-metastable state.</w:t>
      </w:r>
    </w:p>
    <w:p w14:paraId="7A00821A" w14:textId="77777777" w:rsidR="00495AD2" w:rsidRDefault="00495AD2" w:rsidP="00495AD2">
      <w:pPr>
        <w:pStyle w:val="HTMLPreformatted"/>
        <w:rPr>
          <w:color w:val="000000"/>
        </w:rPr>
      </w:pPr>
    </w:p>
    <w:p w14:paraId="008C0FB1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;ＭＳ 明朝"/>
          <w:lang w:eastAsia="zh-CN"/>
        </w:rPr>
      </w:pPr>
      <w:r>
        <w:rPr>
          <w:rFonts w:eastAsia="MS Mincho"/>
          <w:b/>
          <w:sz w:val="24"/>
          <w:u w:val="single"/>
          <w:lang w:val="en-GB" w:eastAsia="ja-JP"/>
        </w:rPr>
        <w:t>Dictionary 31 (</w:t>
      </w:r>
      <w:r>
        <w:rPr>
          <w:b/>
          <w:bCs/>
          <w:sz w:val="24"/>
          <w:szCs w:val="24"/>
          <w:lang w:val="en-GB"/>
        </w:rPr>
        <w:t>Branches</w:t>
      </w:r>
      <w:r>
        <w:rPr>
          <w:rFonts w:eastAsia="MS Mincho"/>
          <w:b/>
          <w:sz w:val="24"/>
          <w:u w:val="single"/>
          <w:lang w:val="en-GB" w:eastAsia="ja-JP"/>
        </w:rPr>
        <w:t>)</w:t>
      </w:r>
    </w:p>
    <w:p w14:paraId="1842B0AD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b/>
          <w:sz w:val="24"/>
          <w:u w:val="single"/>
          <w:lang w:val="en-GB" w:eastAsia="ja-JP"/>
        </w:rPr>
      </w:pPr>
    </w:p>
    <w:p w14:paraId="5180993E" w14:textId="38DD7C7C" w:rsidR="00495AD2" w:rsidRDefault="00495AD2" w:rsidP="00495AD2">
      <w:pPr>
        <w:tabs>
          <w:tab w:val="left" w:pos="993"/>
        </w:tabs>
        <w:rPr>
          <w:rFonts w:eastAsia="Times New Roman"/>
          <w:bCs/>
          <w:sz w:val="24"/>
          <w:lang w:val="en-GB" w:eastAsia="en-US"/>
        </w:rPr>
      </w:pPr>
      <w:r>
        <w:rPr>
          <w:sz w:val="24"/>
          <w:szCs w:val="24"/>
          <w:lang w:val="en-GB"/>
        </w:rPr>
        <w:t xml:space="preserve">L-                            Excluding </w:t>
      </w:r>
      <w:r>
        <w:rPr>
          <w:rFonts w:eastAsia="Times New Roman"/>
          <w:bCs/>
          <w:sz w:val="24"/>
          <w:lang w:val="en-GB" w:eastAsia="en-US"/>
        </w:rPr>
        <w:t xml:space="preserve">formation via quasi-metastable state </w:t>
      </w:r>
      <w:r w:rsidR="00F958E3">
        <w:rPr>
          <w:rFonts w:eastAsia="Times New Roman"/>
          <w:bCs/>
          <w:sz w:val="24"/>
          <w:lang w:val="en-GB" w:eastAsia="en-US"/>
        </w:rPr>
        <w:t>production.</w:t>
      </w:r>
    </w:p>
    <w:p w14:paraId="4D83ADEF" w14:textId="1DEF2A22" w:rsidR="00495AD2" w:rsidRDefault="00495AD2" w:rsidP="00495AD2">
      <w:pPr>
        <w:tabs>
          <w:tab w:val="left" w:pos="993"/>
        </w:tabs>
        <w:rPr>
          <w:rFonts w:eastAsia="MS Mincho"/>
          <w:sz w:val="24"/>
          <w:lang w:val="en-GB" w:eastAsia="ja-JP"/>
        </w:rPr>
      </w:pPr>
      <w:r>
        <w:rPr>
          <w:rFonts w:eastAsia="Times New Roman"/>
          <w:bCs/>
          <w:sz w:val="24"/>
          <w:lang w:val="en-GB" w:eastAsia="en-US"/>
        </w:rPr>
        <w:t xml:space="preserve">                              </w:t>
      </w:r>
    </w:p>
    <w:p w14:paraId="4FB49A37" w14:textId="77777777" w:rsidR="00495AD2" w:rsidRDefault="00495AD2" w:rsidP="00495AD2">
      <w:pPr>
        <w:pStyle w:val="HTMLPreformatted"/>
        <w:rPr>
          <w:color w:val="000000"/>
        </w:rPr>
      </w:pPr>
    </w:p>
    <w:p w14:paraId="5E8D1B80" w14:textId="77777777" w:rsidR="00495AD2" w:rsidRDefault="00495AD2" w:rsidP="00495AD2">
      <w:pPr>
        <w:pStyle w:val="HTMLPreformatted"/>
        <w:rPr>
          <w:color w:val="000000"/>
        </w:rPr>
      </w:pPr>
    </w:p>
    <w:p w14:paraId="6664F070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b/>
          <w:sz w:val="24"/>
          <w:u w:val="single"/>
          <w:lang w:val="fr-FR" w:eastAsia="ja-JP"/>
        </w:rPr>
      </w:pPr>
      <w:r>
        <w:rPr>
          <w:rFonts w:eastAsia="MS Mincho"/>
          <w:b/>
          <w:sz w:val="24"/>
          <w:u w:val="single"/>
          <w:lang w:val="fr-FR" w:eastAsia="ja-JP"/>
        </w:rPr>
        <w:t xml:space="preserve">Coding </w:t>
      </w:r>
      <w:proofErr w:type="spellStart"/>
      <w:r>
        <w:rPr>
          <w:rFonts w:eastAsia="MS Mincho"/>
          <w:b/>
          <w:sz w:val="24"/>
          <w:u w:val="single"/>
          <w:lang w:val="fr-FR" w:eastAsia="ja-JP"/>
        </w:rPr>
        <w:t>sample</w:t>
      </w:r>
      <w:proofErr w:type="spellEnd"/>
      <w:r>
        <w:rPr>
          <w:rFonts w:eastAsia="MS Mincho"/>
          <w:b/>
          <w:sz w:val="24"/>
          <w:u w:val="single"/>
          <w:lang w:val="fr-FR" w:eastAsia="ja-JP"/>
        </w:rPr>
        <w:t xml:space="preserve"> (</w:t>
      </w:r>
      <w:proofErr w:type="spellStart"/>
      <w:proofErr w:type="gramStart"/>
      <w:r>
        <w:rPr>
          <w:rFonts w:eastAsia="MS Mincho"/>
          <w:b/>
          <w:sz w:val="24"/>
          <w:u w:val="single"/>
          <w:lang w:val="fr-FR" w:eastAsia="ja-JP"/>
        </w:rPr>
        <w:t>H.Zhou</w:t>
      </w:r>
      <w:proofErr w:type="spellEnd"/>
      <w:proofErr w:type="gramEnd"/>
      <w:r>
        <w:rPr>
          <w:rFonts w:eastAsia="MS Mincho"/>
          <w:b/>
          <w:sz w:val="24"/>
          <w:u w:val="single"/>
          <w:lang w:val="fr-FR" w:eastAsia="ja-JP"/>
        </w:rPr>
        <w:t xml:space="preserve"> et al.,J,NSE,134,106,2000): </w:t>
      </w:r>
    </w:p>
    <w:p w14:paraId="4968EAF4" w14:textId="77777777" w:rsidR="00495AD2" w:rsidRDefault="00495AD2" w:rsidP="00495AD2">
      <w:pPr>
        <w:pStyle w:val="HTMLPreformatted"/>
        <w:rPr>
          <w:rFonts w:eastAsia="MS Mincho"/>
          <w:b/>
          <w:sz w:val="24"/>
          <w:u w:val="single"/>
          <w:lang w:val="fr-FR" w:eastAsia="ja-JP"/>
        </w:rPr>
      </w:pPr>
      <w:r>
        <w:rPr>
          <w:rFonts w:eastAsia="MS Mincho"/>
          <w:b/>
          <w:sz w:val="24"/>
          <w:u w:val="single"/>
          <w:lang w:val="fr-FR" w:eastAsia="ja-JP"/>
        </w:rPr>
        <w:t xml:space="preserve"> </w:t>
      </w:r>
    </w:p>
    <w:p w14:paraId="590A6C8E" w14:textId="77777777" w:rsidR="00495AD2" w:rsidRDefault="00495AD2" w:rsidP="00495AD2">
      <w:pPr>
        <w:pStyle w:val="HTMLPreformatted"/>
        <w:rPr>
          <w:color w:val="000000"/>
          <w:sz w:val="18"/>
          <w:szCs w:val="18"/>
          <w:lang w:val="en-US" w:eastAsia="en-US" w:bidi="hi-IN"/>
        </w:rPr>
      </w:pPr>
      <w:r>
        <w:rPr>
          <w:color w:val="000000"/>
          <w:sz w:val="18"/>
          <w:szCs w:val="18"/>
          <w:lang w:val="en-US" w:eastAsia="en-US" w:bidi="hi-IN"/>
        </w:rPr>
        <w:t>SUBENT        31492002   20021018   20021204   20050926       0000</w:t>
      </w:r>
    </w:p>
    <w:p w14:paraId="7FF35C39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BIB                  3          4</w:t>
      </w:r>
    </w:p>
    <w:p w14:paraId="3625F257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REACTION  1(82-PB-0(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N,X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)82-PB-206,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en-US" w:bidi="hi-IN"/>
        </w:rPr>
        <w:t>PAR/L-,DA,G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) Prompt.</w:t>
      </w:r>
    </w:p>
    <w:p w14:paraId="68CEC25A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 xml:space="preserve">          2(82-PB-0(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N,X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)82-PB-206-L,PAR,DA,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en-US" w:bidi="hi-IN"/>
        </w:rPr>
        <w:t>DG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) Delayed.</w:t>
      </w:r>
    </w:p>
    <w:p w14:paraId="5F02F339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DECAY-DATA (82-PB-206-M,.124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MSEC,DG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,343.3)</w:t>
      </w:r>
    </w:p>
    <w:p w14:paraId="0F39CD91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fr-FR"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fr-FR" w:eastAsia="en-US" w:bidi="hi-IN"/>
        </w:rPr>
        <w:t>ENDBIB               4</w:t>
      </w:r>
    </w:p>
    <w:p w14:paraId="378FF0D1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fr-FR"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fr-FR" w:eastAsia="en-US" w:bidi="hi-IN"/>
        </w:rPr>
        <w:t>COMMON               3          3</w:t>
      </w:r>
    </w:p>
    <w:p w14:paraId="28166429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fr-FR"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fr-FR" w:eastAsia="en-US" w:bidi="hi-IN"/>
        </w:rPr>
        <w:t>E          LVL-INI    LVL-FIN</w:t>
      </w:r>
    </w:p>
    <w:p w14:paraId="7E0D3163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 xml:space="preserve">KEV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KEV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KEV</w:t>
      </w:r>
      <w:proofErr w:type="spellEnd"/>
    </w:p>
    <w:p w14:paraId="5B2CA184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343.3      1684.1     1340.6</w:t>
      </w:r>
    </w:p>
    <w:p w14:paraId="5A3D3D36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ENDCOMMON            3</w:t>
      </w:r>
    </w:p>
    <w:p w14:paraId="7A622EE9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DATA                 5          3</w:t>
      </w:r>
    </w:p>
    <w:p w14:paraId="23AE88DF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ANG        DATA      1DATA-ERR  1DATA      2DATA-ERR  2</w:t>
      </w:r>
    </w:p>
    <w:p w14:paraId="79C59FF6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de-DE"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de-DE" w:eastAsia="en-US" w:bidi="hi-IN"/>
        </w:rPr>
        <w:t>ADEG       MB/SR      MB/SR      MB/SR      MB/SR</w:t>
      </w:r>
    </w:p>
    <w:p w14:paraId="2D968F1D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55.        1.27       .38        5.63       1.13</w:t>
      </w:r>
    </w:p>
    <w:p w14:paraId="03FD10FF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90.        1.47       .34        3.94       1.58</w:t>
      </w:r>
    </w:p>
    <w:p w14:paraId="1E81C8BA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140.       1.11       .33        4.10       1.64</w:t>
      </w:r>
    </w:p>
    <w:p w14:paraId="73FE42FC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ENDDATA              5</w:t>
      </w:r>
    </w:p>
    <w:p w14:paraId="0D249DB6" w14:textId="7B30159E" w:rsidR="00495AD2" w:rsidRPr="00F958E3" w:rsidRDefault="00495AD2" w:rsidP="00F9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en-US" w:bidi="hi-IN"/>
        </w:rPr>
        <w:t>ENDSUBENT           18</w:t>
      </w:r>
    </w:p>
    <w:p w14:paraId="50C2F867" w14:textId="77777777" w:rsidR="00495AD2" w:rsidRDefault="00495AD2" w:rsidP="00495AD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</w:t>
      </w:r>
    </w:p>
    <w:p w14:paraId="62C0647A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4"/>
          <w:szCs w:val="24"/>
          <w:lang w:val="en-GB" w:eastAsia="ja-JP"/>
        </w:rPr>
        <w:t>Distribution:</w:t>
      </w:r>
    </w:p>
    <w:p w14:paraId="09DB8D17" w14:textId="77777777" w:rsidR="00495AD2" w:rsidRDefault="00495AD2" w:rsidP="00495AD2">
      <w:pPr>
        <w:tabs>
          <w:tab w:val="left" w:pos="993"/>
        </w:tabs>
        <w:jc w:val="bot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95AD2" w14:paraId="3C6621B5" w14:textId="77777777" w:rsidTr="00495AD2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06CFE" w14:textId="77777777" w:rsidR="00495AD2" w:rsidRDefault="00495AD2">
            <w:pPr>
              <w:jc w:val="both"/>
              <w:rPr>
                <w:lang w:eastAsia="en-US"/>
              </w:rPr>
            </w:pPr>
            <w:r>
              <w:rPr>
                <w:bCs/>
                <w:lang w:val="en-GB" w:eastAsia="ja-JP"/>
              </w:rPr>
              <w:t>a.koning@iaea.org</w:t>
            </w:r>
          </w:p>
          <w:p w14:paraId="5F222A9B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abhihere@gmail.com</w:t>
            </w:r>
          </w:p>
          <w:p w14:paraId="3CC97073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aloks279@gmail.com</w:t>
            </w:r>
          </w:p>
          <w:p w14:paraId="16EBB416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daniela.foligno@oecd-nea.org</w:t>
            </w:r>
          </w:p>
          <w:p w14:paraId="6B686E55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dbrown@bnl.gov</w:t>
            </w:r>
          </w:p>
          <w:p w14:paraId="205D9184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draj@barc.gov.in</w:t>
            </w:r>
          </w:p>
          <w:p w14:paraId="40A43850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exfor@oecd-nea.org</w:t>
            </w:r>
          </w:p>
          <w:p w14:paraId="77113A36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fukahori.tokio@jaea.go.jp</w:t>
            </w:r>
          </w:p>
          <w:p w14:paraId="6AF3320F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ganesan555@gmail.com</w:t>
            </w:r>
          </w:p>
          <w:p w14:paraId="0ED460D0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gezg@ciae.ac.cn</w:t>
            </w:r>
          </w:p>
          <w:p w14:paraId="0492CCAE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iwamoto.osamu@jaea.go.jp</w:t>
            </w:r>
          </w:p>
          <w:p w14:paraId="0EC2DCC5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jmwang@ciae.ac.cn</w:t>
            </w:r>
          </w:p>
          <w:p w14:paraId="649C35D3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kaltchenko@kinr.kiev.ua</w:t>
            </w:r>
          </w:p>
          <w:p w14:paraId="57C9CBB3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kimdh@kaeri.re.kr</w:t>
            </w:r>
          </w:p>
          <w:p w14:paraId="73986904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kimura.atsushi04@jaea.go.jp</w:t>
            </w:r>
          </w:p>
          <w:p w14:paraId="3901BA3C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l.vrapcenjak@iaea.org</w:t>
            </w:r>
          </w:p>
          <w:p w14:paraId="12526C56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manuel.bossant@oecd-nea.org</w:t>
            </w:r>
          </w:p>
          <w:p w14:paraId="7F12DF3A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masaaki@nucl.sci.hokudai.ac.jp</w:t>
            </w:r>
          </w:p>
          <w:p w14:paraId="120AB8EC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marina-03-08@yandex.ru</w:t>
            </w:r>
          </w:p>
          <w:p w14:paraId="4064EB29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michael.fleming@oecd-nea.org</w:t>
            </w:r>
          </w:p>
          <w:p w14:paraId="7A9E4AEC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mmarina@ippe.ru</w:t>
            </w:r>
          </w:p>
          <w:p w14:paraId="25AD476E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nicolas.soppera@oecd-nea.org</w:t>
            </w:r>
          </w:p>
          <w:p w14:paraId="039A1F01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n.otsuka@iaea.org</w:t>
            </w:r>
          </w:p>
          <w:p w14:paraId="4AA42D3F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nrdc@jcprg.org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8B975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odsurenn@gmail.com</w:t>
            </w:r>
          </w:p>
          <w:p w14:paraId="279F82BD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ogritzay@ukr.net</w:t>
            </w:r>
          </w:p>
          <w:p w14:paraId="2D676035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ogrudzevich@ippe.ru</w:t>
            </w:r>
          </w:p>
          <w:p w14:paraId="71E29908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otto.schwerer@aon.at</w:t>
            </w:r>
          </w:p>
          <w:p w14:paraId="1D15C890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pikulina@expd.vniief.ru</w:t>
            </w:r>
          </w:p>
          <w:p w14:paraId="67BBEB24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pritychenko@bnl.gov</w:t>
            </w:r>
          </w:p>
          <w:p w14:paraId="2F38B213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s.okumura@iaea.org</w:t>
            </w:r>
          </w:p>
          <w:p w14:paraId="2D144F41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scyang@kaeri.re.kr</w:t>
            </w:r>
          </w:p>
          <w:p w14:paraId="7F314DF8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selyankina@expd.vniief.ru</w:t>
            </w:r>
          </w:p>
          <w:p w14:paraId="21892FBD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sonzogni@bnl.gov</w:t>
            </w:r>
          </w:p>
          <w:p w14:paraId="26F916E4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stakacs@atomki.mta.hu</w:t>
            </w:r>
          </w:p>
          <w:p w14:paraId="3CEFE944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stanislav.hlavac@savba.sk</w:t>
            </w:r>
          </w:p>
          <w:p w14:paraId="5AD4B7A2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sv.dunaeva@gmail.com</w:t>
            </w:r>
          </w:p>
          <w:p w14:paraId="2D95AB34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tada@nucl.sci.hokudai.ac.jp</w:t>
            </w:r>
          </w:p>
          <w:p w14:paraId="61D5AC33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taova@expd.vniief.ru</w:t>
            </w:r>
          </w:p>
          <w:p w14:paraId="5D3C1736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tarkanyi@atomki.hu</w:t>
            </w:r>
          </w:p>
          <w:p w14:paraId="65536807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v.devi@iaea.org</w:t>
            </w:r>
          </w:p>
          <w:p w14:paraId="4BCAC695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v.zerkin@iaea.org</w:t>
            </w:r>
          </w:p>
          <w:p w14:paraId="3D312D80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vidyathakur@yahoo.co.in</w:t>
            </w:r>
          </w:p>
          <w:p w14:paraId="22AB6C81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vsemkova@inrne.bas.bg</w:t>
            </w:r>
          </w:p>
          <w:p w14:paraId="256E6502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vvvarlamov@gmail.com</w:t>
            </w:r>
          </w:p>
          <w:p w14:paraId="1725D6E5" w14:textId="77777777" w:rsidR="00495AD2" w:rsidRDefault="00495AD2">
            <w:pPr>
              <w:jc w:val="both"/>
              <w:rPr>
                <w:lang w:val="en-GB" w:eastAsia="en-US"/>
              </w:rPr>
            </w:pPr>
            <w:r>
              <w:rPr>
                <w:bCs/>
                <w:lang w:val="en-GB" w:eastAsia="ja-JP"/>
              </w:rPr>
              <w:t>yolee@kaeri.re.kr</w:t>
            </w:r>
          </w:p>
          <w:p w14:paraId="21B1C884" w14:textId="77777777" w:rsidR="00495AD2" w:rsidRDefault="00495AD2">
            <w:pPr>
              <w:jc w:val="both"/>
              <w:rPr>
                <w:lang w:val="en-IN" w:eastAsia="en-US"/>
              </w:rPr>
            </w:pPr>
            <w:r>
              <w:rPr>
                <w:bCs/>
                <w:lang w:val="en-GB" w:eastAsia="ja-JP"/>
              </w:rPr>
              <w:t>zholdybayev@inp.kz</w:t>
            </w:r>
          </w:p>
        </w:tc>
      </w:tr>
    </w:tbl>
    <w:p w14:paraId="3527E79C" w14:textId="77777777" w:rsidR="00495AD2" w:rsidRDefault="00495AD2" w:rsidP="00495A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</w:rPr>
      </w:pPr>
    </w:p>
    <w:p w14:paraId="56ED10C1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Mincho"/>
          <w:b/>
          <w:bCs/>
          <w:snapToGrid w:val="0"/>
          <w:sz w:val="24"/>
          <w:szCs w:val="24"/>
          <w:lang w:val="en-GB" w:eastAsia="ja-JP"/>
        </w:rPr>
      </w:pPr>
    </w:p>
    <w:p w14:paraId="5FA8A815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4452404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B8386FE" w14:textId="77777777" w:rsidR="00495AD2" w:rsidRDefault="00495AD2" w:rsidP="0049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3C69E4" w14:textId="77777777" w:rsidR="00495AD2" w:rsidRDefault="00495AD2"/>
    <w:sectPr w:rsidR="0049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868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D2"/>
    <w:rsid w:val="00495AD2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A9AE"/>
  <w15:chartTrackingRefBased/>
  <w15:docId w15:val="{B15E443B-03BA-4300-9C55-20671E3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5AD2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495AD2"/>
    <w:pPr>
      <w:spacing w:before="100" w:beforeAutospacing="1" w:after="100" w:afterAutospacing="1"/>
    </w:pPr>
    <w:rPr>
      <w:rFonts w:eastAsia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95AD2"/>
    <w:pPr>
      <w:spacing w:after="0" w:line="240" w:lineRule="auto"/>
    </w:pPr>
    <w:rPr>
      <w:sz w:val="24"/>
      <w:szCs w:val="24"/>
      <w:lang w:val="en-I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DEVI, Vidya</dc:creator>
  <cp:keywords/>
  <dc:description/>
  <cp:lastModifiedBy>DEVI, Vidya</cp:lastModifiedBy>
  <cp:revision>2</cp:revision>
  <dcterms:created xsi:type="dcterms:W3CDTF">2023-03-07T15:15:00Z</dcterms:created>
  <dcterms:modified xsi:type="dcterms:W3CDTF">2023-03-07T15:18:00Z</dcterms:modified>
</cp:coreProperties>
</file>