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9F12C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9F12C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292A2613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797C78">
        <w:rPr>
          <w:rFonts w:eastAsia="MS Mincho"/>
          <w:b/>
          <w:sz w:val="24"/>
          <w:szCs w:val="24"/>
          <w:u w:val="single"/>
          <w:lang w:val="en-GB" w:eastAsia="ja-JP"/>
        </w:rPr>
        <w:t>100</w:t>
      </w:r>
      <w:r w:rsidR="00EC72BC">
        <w:rPr>
          <w:rFonts w:eastAsia="MS Mincho"/>
          <w:b/>
          <w:sz w:val="24"/>
          <w:szCs w:val="24"/>
          <w:u w:val="single"/>
          <w:lang w:val="en-GB" w:eastAsia="ja-JP"/>
        </w:rPr>
        <w:t>5</w:t>
      </w:r>
    </w:p>
    <w:p w14:paraId="364B6ED7" w14:textId="20FCC3DD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0E0A2F3A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7523B3">
        <w:rPr>
          <w:rFonts w:eastAsia="MS Mincho"/>
          <w:sz w:val="24"/>
          <w:szCs w:val="24"/>
          <w:lang w:val="en-GB"/>
        </w:rPr>
        <w:t>7</w:t>
      </w:r>
      <w:r w:rsidR="00C96CF9">
        <w:rPr>
          <w:rFonts w:eastAsia="MS Mincho"/>
          <w:sz w:val="24"/>
          <w:szCs w:val="24"/>
          <w:lang w:val="en-GB"/>
        </w:rPr>
        <w:t xml:space="preserve"> December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B82D660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2636251C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110EFF">
        <w:rPr>
          <w:rFonts w:eastAsia="MS Mincho"/>
          <w:b/>
          <w:sz w:val="24"/>
          <w:szCs w:val="24"/>
          <w:lang w:val="en-GB"/>
        </w:rPr>
        <w:t xml:space="preserve">DECAY-DATA: Coding of </w:t>
      </w:r>
      <w:r w:rsidR="00EC72BC">
        <w:rPr>
          <w:rFonts w:eastAsia="MS Mincho"/>
          <w:b/>
          <w:sz w:val="24"/>
          <w:szCs w:val="24"/>
          <w:lang w:val="en-GB"/>
        </w:rPr>
        <w:t xml:space="preserve">511 keV annihilation </w:t>
      </w:r>
      <w:r w:rsidR="00110EFF">
        <w:rPr>
          <w:rFonts w:eastAsia="MS Mincho"/>
          <w:b/>
          <w:sz w:val="24"/>
          <w:szCs w:val="24"/>
          <w:lang w:val="en-GB"/>
        </w:rPr>
        <w:t>decay data</w:t>
      </w:r>
    </w:p>
    <w:p w14:paraId="49BCAD71" w14:textId="77777777" w:rsidR="00C50738" w:rsidRDefault="00C50738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1A30156" w14:textId="61D62EB3" w:rsidR="005105B5" w:rsidRPr="005105B5" w:rsidRDefault="005105B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u w:val="single"/>
          <w:lang w:val="en-GB" w:eastAsia="ja-JP"/>
        </w:rPr>
      </w:pPr>
      <w:r w:rsidRPr="005105B5">
        <w:rPr>
          <w:rFonts w:eastAsia="MS Mincho"/>
          <w:snapToGrid w:val="0"/>
          <w:sz w:val="24"/>
          <w:u w:val="single"/>
          <w:lang w:val="en-GB" w:eastAsia="ja-JP"/>
        </w:rPr>
        <w:t>1. Radiation type and intensity of annihilation decay data coded under DECAY-DATA</w:t>
      </w:r>
    </w:p>
    <w:p w14:paraId="77388A10" w14:textId="21547F43" w:rsidR="00291664" w:rsidRDefault="00C50738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Here</w:t>
      </w:r>
      <w:r w:rsidR="003B2C6F" w:rsidRPr="003B2C6F">
        <w:rPr>
          <w:rFonts w:eastAsia="MS Mincho"/>
          <w:snapToGrid w:val="0"/>
          <w:sz w:val="24"/>
          <w:lang w:val="en-GB" w:eastAsia="ja-JP"/>
        </w:rPr>
        <w:t xml:space="preserve"> are two examples of the DECAY-DATA code string for </w:t>
      </w:r>
      <w:r w:rsidR="001F3403">
        <w:rPr>
          <w:rFonts w:eastAsia="MS Mincho"/>
          <w:snapToGrid w:val="0"/>
          <w:sz w:val="24"/>
          <w:vertAlign w:val="superscript"/>
          <w:lang w:val="en-GB" w:eastAsia="ja-JP"/>
        </w:rPr>
        <w:t>11</w:t>
      </w:r>
      <w:r w:rsidR="001F3403">
        <w:rPr>
          <w:rFonts w:eastAsia="MS Mincho"/>
          <w:snapToGrid w:val="0"/>
          <w:sz w:val="24"/>
          <w:lang w:val="en-GB" w:eastAsia="ja-JP"/>
        </w:rPr>
        <w:t>C</w:t>
      </w:r>
      <w:r w:rsidR="003B2C6F" w:rsidRPr="003B2C6F">
        <w:rPr>
          <w:rFonts w:eastAsia="MS Mincho"/>
          <w:snapToGrid w:val="0"/>
          <w:sz w:val="24"/>
          <w:lang w:val="en-GB" w:eastAsia="ja-JP"/>
        </w:rPr>
        <w:t xml:space="preserve"> </w:t>
      </w:r>
      <w:r w:rsidR="0034114B" w:rsidRPr="003B2C6F">
        <w:rPr>
          <w:rFonts w:eastAsia="MS Mincho"/>
          <w:snapToGrid w:val="0"/>
          <w:sz w:val="24"/>
          <w:lang w:val="en-GB" w:eastAsia="ja-JP"/>
        </w:rPr>
        <w:t>annihilation</w:t>
      </w:r>
      <w:r w:rsidR="003B2C6F" w:rsidRPr="003B2C6F">
        <w:rPr>
          <w:rFonts w:eastAsia="MS Mincho"/>
          <w:snapToGrid w:val="0"/>
          <w:sz w:val="24"/>
          <w:lang w:val="en-GB" w:eastAsia="ja-JP"/>
        </w:rPr>
        <w:t xml:space="preserve"> γ-ray detection:</w:t>
      </w:r>
    </w:p>
    <w:p w14:paraId="5287C1D1" w14:textId="77777777" w:rsidR="0034114B" w:rsidRDefault="0034114B" w:rsidP="0034114B">
      <w:pPr>
        <w:pStyle w:val="HTMLPreformatted"/>
        <w:rPr>
          <w:rFonts w:ascii="Times New Roman" w:eastAsia="MS Mincho" w:hAnsi="Times New Roman" w:cs="Times New Roman"/>
          <w:snapToGrid w:val="0"/>
          <w:sz w:val="24"/>
          <w:lang w:val="en-GB" w:eastAsia="ja-JP"/>
        </w:rPr>
      </w:pPr>
    </w:p>
    <w:p w14:paraId="69EAF099" w14:textId="57126A5A" w:rsidR="005D5E45" w:rsidRPr="007523B3" w:rsidRDefault="005D5E45" w:rsidP="001F3403">
      <w:pPr>
        <w:pStyle w:val="HTMLPreformatted"/>
        <w:rPr>
          <w:rFonts w:ascii="Times New Roman" w:eastAsia="MS Mincho" w:hAnsi="Times New Roman" w:cs="Times New Roman"/>
          <w:snapToGrid w:val="0"/>
          <w:sz w:val="24"/>
          <w:lang w:val="en-GB" w:eastAsia="ja-JP"/>
        </w:rPr>
      </w:pPr>
      <w:r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 xml:space="preserve">EXFOR </w:t>
      </w:r>
      <w:r w:rsidR="0034114B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2</w:t>
      </w:r>
      <w:r w:rsidR="001F3403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0348</w:t>
      </w:r>
      <w:r w:rsidR="0034114B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.002</w:t>
      </w:r>
      <w:r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 xml:space="preserve"> (</w:t>
      </w:r>
      <w:proofErr w:type="spellStart"/>
      <w:proofErr w:type="gramStart"/>
      <w:r w:rsidR="00856707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B.Anders</w:t>
      </w:r>
      <w:proofErr w:type="spellEnd"/>
      <w:proofErr w:type="gramEnd"/>
      <w:r w:rsidR="00856707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+, J,ZP/A,301,353,1981</w:t>
      </w:r>
    </w:p>
    <w:p w14:paraId="300F303D" w14:textId="04D54CDE" w:rsidR="00C50738" w:rsidRPr="007523B3" w:rsidRDefault="00856707" w:rsidP="005D5E45">
      <w:pPr>
        <w:pStyle w:val="HTMLPreformatted"/>
        <w:jc w:val="both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511 keV γ-ray</w:t>
      </w:r>
      <w:r w:rsidR="00660516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-511 keV γ-ray</w:t>
      </w:r>
      <w:r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 xml:space="preserve"> coincidence counting is reported with its β+ intensity </w:t>
      </w:r>
      <w:r w:rsidR="00660516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I</w:t>
      </w:r>
      <w:r w:rsidR="00660516" w:rsidRPr="007523B3">
        <w:rPr>
          <w:rFonts w:ascii="Times New Roman" w:eastAsia="MS Mincho" w:hAnsi="Times New Roman" w:cs="Times New Roman"/>
          <w:snapToGrid w:val="0"/>
          <w:sz w:val="24"/>
          <w:vertAlign w:val="subscript"/>
          <w:lang w:val="en-GB" w:eastAsia="ja-JP"/>
        </w:rPr>
        <w:t>β+</w:t>
      </w:r>
      <w:r w:rsidR="00660516"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=</w:t>
      </w:r>
      <w:r w:rsidRPr="007523B3">
        <w:rPr>
          <w:rFonts w:ascii="Times New Roman" w:eastAsia="MS Mincho" w:hAnsi="Times New Roman" w:cs="Times New Roman"/>
          <w:snapToGrid w:val="0"/>
          <w:sz w:val="24"/>
          <w:lang w:val="en-GB" w:eastAsia="ja-JP"/>
        </w:rPr>
        <w:t>99.76%</w:t>
      </w:r>
    </w:p>
    <w:p w14:paraId="2718560A" w14:textId="77777777" w:rsidR="00856707" w:rsidRPr="007523B3" w:rsidRDefault="00856707" w:rsidP="001F3403">
      <w:pPr>
        <w:pStyle w:val="HTMLPreformatted"/>
        <w:rPr>
          <w:rFonts w:eastAsia="Times New Roman"/>
        </w:rPr>
      </w:pPr>
    </w:p>
    <w:p w14:paraId="1230779F" w14:textId="77777777" w:rsidR="00856707" w:rsidRPr="007523B3" w:rsidRDefault="001F3403" w:rsidP="0034114B">
      <w:pPr>
        <w:pStyle w:val="HTMLPreformatted"/>
        <w:rPr>
          <w:rFonts w:eastAsia="Times New Roman"/>
        </w:rPr>
      </w:pPr>
      <w:r w:rsidRPr="007523B3">
        <w:rPr>
          <w:rFonts w:eastAsia="Times New Roman"/>
        </w:rPr>
        <w:t>DECAY-DATA (6-C-11,20.25</w:t>
      </w:r>
      <w:proofErr w:type="gramStart"/>
      <w:r w:rsidRPr="007523B3">
        <w:rPr>
          <w:rFonts w:eastAsia="Times New Roman"/>
        </w:rPr>
        <w:t>MIN,AR</w:t>
      </w:r>
      <w:proofErr w:type="gramEnd"/>
      <w:r w:rsidRPr="007523B3">
        <w:rPr>
          <w:rFonts w:eastAsia="Times New Roman"/>
        </w:rPr>
        <w:t>,511.,.9976)</w:t>
      </w:r>
    </w:p>
    <w:p w14:paraId="520B376D" w14:textId="234530EC" w:rsidR="001F3403" w:rsidRPr="007523B3" w:rsidRDefault="001F3403" w:rsidP="001F3403">
      <w:pPr>
        <w:tabs>
          <w:tab w:val="left" w:pos="993"/>
        </w:tabs>
        <w:jc w:val="center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/>
          <w:noProof/>
          <w:snapToGrid w:val="0"/>
          <w:sz w:val="24"/>
          <w:lang w:val="en-GB" w:eastAsia="ja-JP"/>
        </w:rPr>
        <w:drawing>
          <wp:inline distT="0" distB="0" distL="0" distR="0" wp14:anchorId="30729764" wp14:editId="3726A002">
            <wp:extent cx="3092450" cy="11557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984F" w14:textId="236D74B2" w:rsidR="001F3403" w:rsidRPr="007523B3" w:rsidRDefault="001F3403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9228E42" w14:textId="0DEE7A07" w:rsidR="00F935B5" w:rsidRPr="007523B3" w:rsidRDefault="00F935B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bookmarkStart w:id="0" w:name="_Hlk58142078"/>
      <w:r w:rsidRPr="007523B3">
        <w:rPr>
          <w:rFonts w:eastAsia="MS Mincho"/>
          <w:snapToGrid w:val="0"/>
          <w:sz w:val="24"/>
          <w:lang w:val="en-GB" w:eastAsia="ja-JP"/>
        </w:rPr>
        <w:t xml:space="preserve">The </w:t>
      </w:r>
      <w:r w:rsidRPr="007523B3">
        <w:rPr>
          <w:rFonts w:eastAsia="MS Mincho"/>
          <w:snapToGrid w:val="0"/>
          <w:sz w:val="24"/>
          <w:vertAlign w:val="superscript"/>
          <w:lang w:val="en-GB" w:eastAsia="ja-JP"/>
        </w:rPr>
        <w:t>11</w:t>
      </w:r>
      <w:r w:rsidRPr="007523B3">
        <w:rPr>
          <w:rFonts w:eastAsia="MS Mincho"/>
          <w:snapToGrid w:val="0"/>
          <w:sz w:val="24"/>
          <w:lang w:val="en-GB" w:eastAsia="ja-JP"/>
        </w:rPr>
        <w:t xml:space="preserve">C production cross section </w:t>
      </w:r>
      <w:r w:rsidR="00C45501" w:rsidRPr="007523B3">
        <w:rPr>
          <w:rFonts w:eastAsia="MS Mincho"/>
          <w:snapToGrid w:val="0"/>
          <w:sz w:val="24"/>
          <w:lang w:val="en-GB" w:eastAsia="ja-JP"/>
        </w:rPr>
        <w:t>in this experiment was determined by</w:t>
      </w:r>
    </w:p>
    <w:p w14:paraId="4E5CFFAB" w14:textId="1AFABB5E" w:rsidR="00F935B5" w:rsidRPr="007523B3" w:rsidRDefault="00C45501" w:rsidP="00C45501">
      <w:pPr>
        <w:tabs>
          <w:tab w:val="left" w:pos="993"/>
        </w:tabs>
        <w:jc w:val="center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 w:hint="eastAsia"/>
          <w:snapToGrid w:val="0"/>
          <w:sz w:val="24"/>
          <w:lang w:val="en-GB" w:eastAsia="ja-JP"/>
        </w:rPr>
        <w:t>σ</w:t>
      </w:r>
      <w:r w:rsidRPr="007523B3">
        <w:rPr>
          <w:rFonts w:eastAsia="MS Mincho"/>
          <w:snapToGrid w:val="0"/>
          <w:sz w:val="24"/>
          <w:lang w:val="en-GB" w:eastAsia="ja-JP"/>
        </w:rPr>
        <w:t>=  [</w:t>
      </w:r>
      <w:r w:rsidR="00F935B5" w:rsidRPr="007523B3">
        <w:rPr>
          <w:rFonts w:eastAsia="MS Mincho"/>
          <w:snapToGrid w:val="0"/>
          <w:sz w:val="24"/>
          <w:lang w:val="en-GB" w:eastAsia="ja-JP"/>
        </w:rPr>
        <w:t>N(511 keV γ-511 keV γ coincidence) / I</w:t>
      </w:r>
      <w:r w:rsidR="00F935B5" w:rsidRPr="007523B3">
        <w:rPr>
          <w:rFonts w:eastAsia="MS Mincho"/>
          <w:snapToGrid w:val="0"/>
          <w:sz w:val="24"/>
          <w:vertAlign w:val="subscript"/>
          <w:lang w:val="en-GB" w:eastAsia="ja-JP"/>
        </w:rPr>
        <w:t>β+</w:t>
      </w:r>
      <w:r w:rsidRPr="007523B3">
        <w:rPr>
          <w:rFonts w:eastAsia="MS Mincho"/>
          <w:snapToGrid w:val="0"/>
          <w:sz w:val="24"/>
          <w:lang w:val="en-GB" w:eastAsia="ja-JP"/>
        </w:rPr>
        <w:t xml:space="preserve"> ] …</w:t>
      </w:r>
    </w:p>
    <w:bookmarkEnd w:id="0"/>
    <w:p w14:paraId="1F7AB862" w14:textId="77777777" w:rsidR="00F935B5" w:rsidRPr="007523B3" w:rsidRDefault="00F935B5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651EE749" w14:textId="77777777" w:rsidR="005D5E45" w:rsidRPr="007523B3" w:rsidRDefault="005D5E45" w:rsidP="00856707">
      <w:pPr>
        <w:tabs>
          <w:tab w:val="left" w:pos="993"/>
        </w:tabs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/>
          <w:snapToGrid w:val="0"/>
          <w:sz w:val="24"/>
          <w:lang w:val="en-GB" w:eastAsia="ja-JP"/>
        </w:rPr>
        <w:t xml:space="preserve">EXFOR </w:t>
      </w:r>
      <w:r w:rsidR="001F3403" w:rsidRPr="007523B3">
        <w:rPr>
          <w:rFonts w:eastAsia="MS Mincho"/>
          <w:snapToGrid w:val="0"/>
          <w:sz w:val="24"/>
          <w:lang w:val="en-GB" w:eastAsia="ja-JP"/>
        </w:rPr>
        <w:t>22702.002</w:t>
      </w:r>
      <w:r w:rsidRPr="007523B3">
        <w:rPr>
          <w:rFonts w:eastAsia="MS Mincho"/>
          <w:snapToGrid w:val="0"/>
          <w:sz w:val="24"/>
          <w:lang w:val="en-GB" w:eastAsia="ja-JP"/>
        </w:rPr>
        <w:t xml:space="preserve"> (</w:t>
      </w:r>
      <w:proofErr w:type="spellStart"/>
      <w:proofErr w:type="gramStart"/>
      <w:r w:rsidR="00856707" w:rsidRPr="007523B3">
        <w:rPr>
          <w:rFonts w:eastAsia="MS Mincho"/>
          <w:snapToGrid w:val="0"/>
          <w:sz w:val="24"/>
          <w:lang w:val="en-GB" w:eastAsia="ja-JP"/>
        </w:rPr>
        <w:t>Y.Uno</w:t>
      </w:r>
      <w:proofErr w:type="spellEnd"/>
      <w:proofErr w:type="gramEnd"/>
      <w:r w:rsidR="00856707" w:rsidRPr="007523B3">
        <w:rPr>
          <w:rFonts w:eastAsia="MS Mincho"/>
          <w:snapToGrid w:val="0"/>
          <w:sz w:val="24"/>
          <w:lang w:val="en-GB" w:eastAsia="ja-JP"/>
        </w:rPr>
        <w:t>, J,NSE,122,247,1996)</w:t>
      </w:r>
    </w:p>
    <w:p w14:paraId="488E0FA5" w14:textId="3DE5117C" w:rsidR="00856707" w:rsidRPr="007523B3" w:rsidRDefault="00856707" w:rsidP="00856707">
      <w:pPr>
        <w:tabs>
          <w:tab w:val="left" w:pos="993"/>
        </w:tabs>
        <w:rPr>
          <w:rFonts w:ascii="Courier New" w:eastAsia="MS Mincho" w:hAnsi="Courier New" w:cs="Courier New"/>
          <w:snapToGrid w:val="0"/>
          <w:lang w:val="en-GB" w:eastAsia="ja-JP"/>
        </w:rPr>
      </w:pPr>
      <w:r w:rsidRPr="007523B3">
        <w:rPr>
          <w:rFonts w:eastAsia="MS Mincho"/>
          <w:snapToGrid w:val="0"/>
          <w:sz w:val="24"/>
          <w:lang w:val="en-GB" w:eastAsia="ja-JP"/>
        </w:rPr>
        <w:t xml:space="preserve">Detection of 511 keV γ counting reported with its γ intensity </w:t>
      </w:r>
      <w:proofErr w:type="spellStart"/>
      <w:r w:rsidR="00660516" w:rsidRPr="007523B3">
        <w:rPr>
          <w:rFonts w:eastAsia="MS Mincho"/>
          <w:snapToGrid w:val="0"/>
          <w:sz w:val="24"/>
          <w:lang w:val="en-GB" w:eastAsia="ja-JP"/>
        </w:rPr>
        <w:t>I</w:t>
      </w:r>
      <w:r w:rsidR="00660516" w:rsidRPr="007523B3">
        <w:rPr>
          <w:rFonts w:eastAsia="MS Mincho"/>
          <w:snapToGrid w:val="0"/>
          <w:sz w:val="24"/>
          <w:vertAlign w:val="subscript"/>
          <w:lang w:val="en-GB" w:eastAsia="ja-JP"/>
        </w:rPr>
        <w:t>γ</w:t>
      </w:r>
      <w:proofErr w:type="spellEnd"/>
      <w:r w:rsidR="00660516" w:rsidRPr="007523B3">
        <w:rPr>
          <w:rFonts w:eastAsia="MS Mincho"/>
          <w:snapToGrid w:val="0"/>
          <w:sz w:val="24"/>
          <w:lang w:val="en-GB" w:eastAsia="ja-JP"/>
        </w:rPr>
        <w:t>=</w:t>
      </w:r>
      <w:r w:rsidRPr="007523B3">
        <w:rPr>
          <w:rFonts w:eastAsia="MS Mincho"/>
          <w:snapToGrid w:val="0"/>
          <w:sz w:val="24"/>
          <w:lang w:val="en-GB" w:eastAsia="ja-JP"/>
        </w:rPr>
        <w:t>199.518%</w:t>
      </w:r>
    </w:p>
    <w:p w14:paraId="1B4DFD8E" w14:textId="0CFB1A7D" w:rsidR="00C50738" w:rsidRPr="007523B3" w:rsidRDefault="00C50738" w:rsidP="009F12CD">
      <w:pPr>
        <w:tabs>
          <w:tab w:val="left" w:pos="993"/>
        </w:tabs>
        <w:jc w:val="both"/>
        <w:rPr>
          <w:rFonts w:ascii="Courier New" w:eastAsia="MS Mincho" w:hAnsi="Courier New" w:cs="Courier New"/>
          <w:snapToGrid w:val="0"/>
          <w:lang w:val="en-GB" w:eastAsia="ja-JP"/>
        </w:rPr>
      </w:pPr>
    </w:p>
    <w:p w14:paraId="18EC26F2" w14:textId="3F051089" w:rsidR="001F3403" w:rsidRPr="007523B3" w:rsidRDefault="001F3403" w:rsidP="00856707">
      <w:pPr>
        <w:tabs>
          <w:tab w:val="left" w:pos="993"/>
        </w:tabs>
        <w:rPr>
          <w:rFonts w:eastAsia="MS Mincho"/>
          <w:snapToGrid w:val="0"/>
          <w:sz w:val="24"/>
          <w:szCs w:val="24"/>
          <w:lang w:val="en-GB" w:eastAsia="ja-JP"/>
        </w:rPr>
      </w:pPr>
      <w:r w:rsidRPr="007523B3">
        <w:rPr>
          <w:rFonts w:ascii="Courier New" w:eastAsia="MS Mincho" w:hAnsi="Courier New" w:cs="Courier New"/>
          <w:snapToGrid w:val="0"/>
          <w:lang w:val="en-GB" w:eastAsia="ja-JP"/>
        </w:rPr>
        <w:t>DECAY-DATA (6-C-11,20.39</w:t>
      </w:r>
      <w:proofErr w:type="gramStart"/>
      <w:r w:rsidRPr="007523B3">
        <w:rPr>
          <w:rFonts w:ascii="Courier New" w:eastAsia="MS Mincho" w:hAnsi="Courier New" w:cs="Courier New"/>
          <w:snapToGrid w:val="0"/>
          <w:lang w:val="en-GB" w:eastAsia="ja-JP"/>
        </w:rPr>
        <w:t>MIN,DG</w:t>
      </w:r>
      <w:proofErr w:type="gramEnd"/>
      <w:r w:rsidRPr="007523B3">
        <w:rPr>
          <w:rFonts w:ascii="Courier New" w:eastAsia="MS Mincho" w:hAnsi="Courier New" w:cs="Courier New"/>
          <w:snapToGrid w:val="0"/>
          <w:lang w:val="en-GB" w:eastAsia="ja-JP"/>
        </w:rPr>
        <w:t>,511.0,1.99518)</w:t>
      </w:r>
      <w:r w:rsidR="00C50738" w:rsidRPr="007523B3">
        <w:rPr>
          <w:rFonts w:ascii="Courier New" w:eastAsia="MS Mincho" w:hAnsi="Courier New" w:cs="Courier New"/>
          <w:snapToGrid w:val="0"/>
          <w:lang w:val="en-GB" w:eastAsia="ja-JP"/>
        </w:rPr>
        <w:br/>
      </w:r>
      <w:r w:rsidRPr="007523B3">
        <w:rPr>
          <w:rFonts w:eastAsia="MS Mincho"/>
          <w:noProof/>
          <w:snapToGrid w:val="0"/>
          <w:sz w:val="24"/>
          <w:lang w:val="en-GB" w:eastAsia="ja-JP"/>
        </w:rPr>
        <w:drawing>
          <wp:inline distT="0" distB="0" distL="0" distR="0" wp14:anchorId="2BD8F1EA" wp14:editId="3CC55A67">
            <wp:extent cx="5727700" cy="1092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C0B0C" w14:textId="77777777" w:rsidR="00C45501" w:rsidRPr="007523B3" w:rsidRDefault="00C45501" w:rsidP="00C4550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B619880" w14:textId="3A3E2CDE" w:rsidR="00C45501" w:rsidRPr="007523B3" w:rsidRDefault="00C45501" w:rsidP="00C45501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/>
          <w:snapToGrid w:val="0"/>
          <w:sz w:val="24"/>
          <w:lang w:val="en-GB" w:eastAsia="ja-JP"/>
        </w:rPr>
        <w:t xml:space="preserve">The </w:t>
      </w:r>
      <w:r w:rsidRPr="007523B3">
        <w:rPr>
          <w:rFonts w:eastAsia="MS Mincho"/>
          <w:snapToGrid w:val="0"/>
          <w:sz w:val="24"/>
          <w:vertAlign w:val="superscript"/>
          <w:lang w:val="en-GB" w:eastAsia="ja-JP"/>
        </w:rPr>
        <w:t>11</w:t>
      </w:r>
      <w:r w:rsidRPr="007523B3">
        <w:rPr>
          <w:rFonts w:eastAsia="MS Mincho"/>
          <w:snapToGrid w:val="0"/>
          <w:sz w:val="24"/>
          <w:lang w:val="en-GB" w:eastAsia="ja-JP"/>
        </w:rPr>
        <w:t>C production cross section in this experiment was determined by</w:t>
      </w:r>
    </w:p>
    <w:p w14:paraId="5A243626" w14:textId="39E0AC1F" w:rsidR="00C45501" w:rsidRPr="007523B3" w:rsidRDefault="00C45501" w:rsidP="00C45501">
      <w:pPr>
        <w:tabs>
          <w:tab w:val="left" w:pos="993"/>
        </w:tabs>
        <w:jc w:val="center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/>
          <w:snapToGrid w:val="0"/>
          <w:sz w:val="24"/>
          <w:lang w:val="en-GB" w:eastAsia="ja-JP"/>
        </w:rPr>
        <w:t>σ</w:t>
      </w:r>
      <w:proofErr w:type="gramStart"/>
      <w:r w:rsidRPr="007523B3">
        <w:rPr>
          <w:rFonts w:eastAsia="MS Mincho"/>
          <w:snapToGrid w:val="0"/>
          <w:sz w:val="24"/>
          <w:lang w:val="en-GB" w:eastAsia="ja-JP"/>
        </w:rPr>
        <w:t>=  [</w:t>
      </w:r>
      <w:proofErr w:type="gramEnd"/>
      <w:r w:rsidRPr="007523B3">
        <w:rPr>
          <w:rFonts w:eastAsia="MS Mincho"/>
          <w:snapToGrid w:val="0"/>
          <w:sz w:val="24"/>
          <w:lang w:val="en-GB" w:eastAsia="ja-JP"/>
        </w:rPr>
        <w:t xml:space="preserve">N(511 keV γ) / </w:t>
      </w:r>
      <w:proofErr w:type="spellStart"/>
      <w:r w:rsidRPr="007523B3">
        <w:rPr>
          <w:rFonts w:eastAsia="MS Mincho"/>
          <w:snapToGrid w:val="0"/>
          <w:sz w:val="24"/>
          <w:lang w:val="en-GB" w:eastAsia="ja-JP"/>
        </w:rPr>
        <w:t>I</w:t>
      </w:r>
      <w:r w:rsidRPr="007523B3">
        <w:rPr>
          <w:rFonts w:eastAsia="MS Mincho"/>
          <w:snapToGrid w:val="0"/>
          <w:sz w:val="24"/>
          <w:vertAlign w:val="subscript"/>
          <w:lang w:val="en-GB" w:eastAsia="ja-JP"/>
        </w:rPr>
        <w:t>γ</w:t>
      </w:r>
      <w:proofErr w:type="spellEnd"/>
      <w:r w:rsidRPr="007523B3">
        <w:rPr>
          <w:rFonts w:eastAsia="MS Mincho"/>
          <w:snapToGrid w:val="0"/>
          <w:sz w:val="24"/>
          <w:lang w:val="en-GB" w:eastAsia="ja-JP"/>
        </w:rPr>
        <w:t xml:space="preserve"> ] …</w:t>
      </w:r>
    </w:p>
    <w:p w14:paraId="02B63AA5" w14:textId="07685D5F" w:rsidR="00C45501" w:rsidRPr="007523B3" w:rsidRDefault="00C45501" w:rsidP="003B2C6F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/>
          <w:snapToGrid w:val="0"/>
          <w:sz w:val="24"/>
          <w:lang w:val="en-GB" w:eastAsia="ja-JP"/>
        </w:rPr>
        <w:t xml:space="preserve">Note that </w:t>
      </w:r>
      <w:proofErr w:type="spellStart"/>
      <w:r w:rsidRPr="007523B3">
        <w:rPr>
          <w:rFonts w:eastAsia="MS Mincho"/>
          <w:snapToGrid w:val="0"/>
          <w:sz w:val="24"/>
          <w:lang w:val="en-GB" w:eastAsia="ja-JP"/>
        </w:rPr>
        <w:t>I</w:t>
      </w:r>
      <w:r w:rsidRPr="007523B3">
        <w:rPr>
          <w:rFonts w:eastAsia="MS Mincho"/>
          <w:snapToGrid w:val="0"/>
          <w:sz w:val="24"/>
          <w:vertAlign w:val="subscript"/>
          <w:lang w:val="en-GB" w:eastAsia="ja-JP"/>
        </w:rPr>
        <w:t>γ</w:t>
      </w:r>
      <w:proofErr w:type="spellEnd"/>
      <w:r w:rsidRPr="007523B3">
        <w:rPr>
          <w:rFonts w:eastAsia="MS Mincho"/>
          <w:snapToGrid w:val="0"/>
          <w:sz w:val="24"/>
          <w:lang w:val="en-GB" w:eastAsia="ja-JP"/>
        </w:rPr>
        <w:t>=2I</w:t>
      </w:r>
      <w:r w:rsidRPr="007523B3">
        <w:rPr>
          <w:rFonts w:eastAsia="MS Mincho"/>
          <w:snapToGrid w:val="0"/>
          <w:sz w:val="24"/>
          <w:vertAlign w:val="subscript"/>
          <w:lang w:val="en-GB" w:eastAsia="ja-JP"/>
        </w:rPr>
        <w:t>β+</w:t>
      </w:r>
      <w:r w:rsidRPr="007523B3">
        <w:rPr>
          <w:rFonts w:eastAsia="MS Mincho"/>
          <w:snapToGrid w:val="0"/>
          <w:sz w:val="24"/>
          <w:lang w:val="en-GB" w:eastAsia="ja-JP"/>
        </w:rPr>
        <w:t>.</w:t>
      </w:r>
    </w:p>
    <w:p w14:paraId="534CA636" w14:textId="10CC250E" w:rsidR="003B2C6F" w:rsidRDefault="001F3403" w:rsidP="003B2C6F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/>
          <w:snapToGrid w:val="0"/>
          <w:sz w:val="24"/>
          <w:lang w:val="en-GB" w:eastAsia="ja-JP"/>
        </w:rPr>
        <w:t xml:space="preserve">We observe </w:t>
      </w:r>
      <w:r w:rsidR="003B2C6F" w:rsidRPr="007523B3">
        <w:rPr>
          <w:rFonts w:eastAsia="MS Mincho"/>
          <w:snapToGrid w:val="0"/>
          <w:sz w:val="24"/>
          <w:lang w:val="en-GB" w:eastAsia="ja-JP"/>
        </w:rPr>
        <w:t xml:space="preserve">two ambiguities in coding of the 511 keV annihilation gamma </w:t>
      </w:r>
      <w:r w:rsidR="003B2C6F">
        <w:rPr>
          <w:rFonts w:eastAsia="MS Mincho"/>
          <w:snapToGrid w:val="0"/>
          <w:sz w:val="24"/>
          <w:lang w:val="en-GB" w:eastAsia="ja-JP"/>
        </w:rPr>
        <w:t xml:space="preserve">decay data: </w:t>
      </w:r>
    </w:p>
    <w:p w14:paraId="3E913950" w14:textId="77777777" w:rsidR="003B2C6F" w:rsidRPr="00110EFF" w:rsidRDefault="003B2C6F" w:rsidP="003B2C6F">
      <w:pPr>
        <w:pStyle w:val="ListParagraph"/>
        <w:numPr>
          <w:ilvl w:val="0"/>
          <w:numId w:val="16"/>
        </w:num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110EFF">
        <w:rPr>
          <w:rFonts w:eastAsia="MS Mincho"/>
          <w:snapToGrid w:val="0"/>
          <w:sz w:val="24"/>
          <w:lang w:val="en-GB" w:eastAsia="ja-JP"/>
        </w:rPr>
        <w:t xml:space="preserve">Choice of the radiation type – </w:t>
      </w:r>
      <w:r w:rsidRPr="00110EFF">
        <w:rPr>
          <w:rFonts w:eastAsia="MS Mincho"/>
          <w:snapToGrid w:val="0"/>
          <w:lang w:val="en-GB" w:eastAsia="ja-JP"/>
        </w:rPr>
        <w:t>DG</w:t>
      </w:r>
      <w:r w:rsidRPr="00110EFF">
        <w:rPr>
          <w:rFonts w:eastAsia="MS Mincho"/>
          <w:snapToGrid w:val="0"/>
          <w:sz w:val="24"/>
          <w:lang w:val="en-GB" w:eastAsia="ja-JP"/>
        </w:rPr>
        <w:t xml:space="preserve"> (decay gamma) or </w:t>
      </w:r>
      <w:r w:rsidRPr="00110EFF">
        <w:rPr>
          <w:rFonts w:eastAsia="MS Mincho"/>
          <w:snapToGrid w:val="0"/>
          <w:lang w:val="en-GB" w:eastAsia="ja-JP"/>
        </w:rPr>
        <w:t>AR</w:t>
      </w:r>
      <w:r w:rsidRPr="00110EFF">
        <w:rPr>
          <w:rFonts w:eastAsia="MS Mincho"/>
          <w:snapToGrid w:val="0"/>
          <w:sz w:val="24"/>
          <w:lang w:val="en-GB" w:eastAsia="ja-JP"/>
        </w:rPr>
        <w:t xml:space="preserve"> (annihilation radiation)?</w:t>
      </w:r>
    </w:p>
    <w:p w14:paraId="645087C7" w14:textId="77777777" w:rsidR="003B2C6F" w:rsidRPr="00110EFF" w:rsidRDefault="003B2C6F" w:rsidP="003B2C6F">
      <w:pPr>
        <w:pStyle w:val="ListParagraph"/>
        <w:numPr>
          <w:ilvl w:val="0"/>
          <w:numId w:val="16"/>
        </w:num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 w:rsidRPr="00110EFF">
        <w:rPr>
          <w:rFonts w:eastAsia="MS Mincho"/>
          <w:snapToGrid w:val="0"/>
          <w:sz w:val="24"/>
          <w:lang w:val="en-GB" w:eastAsia="ja-JP"/>
        </w:rPr>
        <w:t xml:space="preserve">Choice of the </w:t>
      </w:r>
      <w:r>
        <w:rPr>
          <w:rFonts w:eastAsia="MS Mincho"/>
          <w:snapToGrid w:val="0"/>
          <w:sz w:val="24"/>
          <w:lang w:val="en-GB" w:eastAsia="ja-JP"/>
        </w:rPr>
        <w:t>abundance (</w:t>
      </w:r>
      <w:r w:rsidRPr="00110EFF">
        <w:rPr>
          <w:rFonts w:eastAsia="MS Mincho"/>
          <w:snapToGrid w:val="0"/>
          <w:sz w:val="24"/>
          <w:lang w:val="en-GB" w:eastAsia="ja-JP"/>
        </w:rPr>
        <w:t>intensity) – number of gammas or coincidence</w:t>
      </w:r>
      <w:r>
        <w:rPr>
          <w:rFonts w:eastAsia="MS Mincho"/>
          <w:snapToGrid w:val="0"/>
          <w:sz w:val="24"/>
          <w:lang w:val="en-GB" w:eastAsia="ja-JP"/>
        </w:rPr>
        <w:t>s</w:t>
      </w:r>
      <w:r w:rsidRPr="00110EFF">
        <w:rPr>
          <w:rFonts w:eastAsia="MS Mincho"/>
          <w:snapToGrid w:val="0"/>
          <w:sz w:val="24"/>
          <w:lang w:val="en-GB" w:eastAsia="ja-JP"/>
        </w:rPr>
        <w:t>?</w:t>
      </w:r>
    </w:p>
    <w:p w14:paraId="6F3246B5" w14:textId="77777777" w:rsidR="00031539" w:rsidRDefault="00F545DF" w:rsidP="00261122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</w:t>
      </w:r>
      <w:r w:rsidR="00C50738">
        <w:rPr>
          <w:rFonts w:eastAsia="MS Mincho"/>
          <w:snapToGrid w:val="0"/>
          <w:sz w:val="24"/>
          <w:lang w:val="en-GB" w:eastAsia="ja-JP"/>
        </w:rPr>
        <w:t>he appendix of this memo lists the abundances</w:t>
      </w:r>
      <w:r>
        <w:rPr>
          <w:rFonts w:eastAsia="MS Mincho"/>
          <w:snapToGrid w:val="0"/>
          <w:sz w:val="24"/>
          <w:lang w:val="en-GB" w:eastAsia="ja-JP"/>
        </w:rPr>
        <w:t xml:space="preserve"> of all DECAY-DATA code strings having (1) “DG” or “AR” in the radiation type subfield and (2) “511” in the energy subfield, and compared them with </w:t>
      </w:r>
      <w:r w:rsidR="00261122">
        <w:rPr>
          <w:rFonts w:eastAsia="MS Mincho"/>
          <w:snapToGrid w:val="0"/>
          <w:sz w:val="24"/>
          <w:lang w:val="en-GB" w:eastAsia="ja-JP"/>
        </w:rPr>
        <w:t xml:space="preserve">the </w:t>
      </w:r>
      <w:r w:rsidR="00237F58">
        <w:rPr>
          <w:rFonts w:eastAsia="MS Mincho"/>
          <w:snapToGrid w:val="0"/>
          <w:sz w:val="24"/>
          <w:lang w:val="en-GB" w:eastAsia="ja-JP"/>
        </w:rPr>
        <w:t xml:space="preserve">annihilation </w:t>
      </w:r>
      <w:r w:rsidR="00261122">
        <w:rPr>
          <w:rFonts w:eastAsia="MS Mincho"/>
          <w:snapToGrid w:val="0"/>
          <w:sz w:val="24"/>
          <w:lang w:val="en-GB" w:eastAsia="ja-JP"/>
        </w:rPr>
        <w:t>gamma intensities</w:t>
      </w:r>
      <w:r>
        <w:rPr>
          <w:rFonts w:eastAsia="MS Mincho"/>
          <w:snapToGrid w:val="0"/>
          <w:sz w:val="24"/>
          <w:lang w:val="en-GB" w:eastAsia="ja-JP"/>
        </w:rPr>
        <w:t xml:space="preserve"> extracted by Marco </w:t>
      </w:r>
      <w:proofErr w:type="spellStart"/>
      <w:r>
        <w:rPr>
          <w:rFonts w:eastAsia="MS Mincho"/>
          <w:snapToGrid w:val="0"/>
          <w:sz w:val="24"/>
          <w:lang w:val="en-GB" w:eastAsia="ja-JP"/>
        </w:rPr>
        <w:t>Verpelli</w:t>
      </w:r>
      <w:proofErr w:type="spellEnd"/>
      <w:r w:rsidR="00AD74B8">
        <w:rPr>
          <w:rFonts w:eastAsia="MS Mincho"/>
          <w:snapToGrid w:val="0"/>
          <w:sz w:val="24"/>
          <w:lang w:val="en-GB" w:eastAsia="ja-JP"/>
        </w:rPr>
        <w:t xml:space="preserve"> (NDS)</w:t>
      </w:r>
      <w:r w:rsidR="00261122">
        <w:rPr>
          <w:rFonts w:eastAsia="MS Mincho"/>
          <w:snapToGrid w:val="0"/>
          <w:sz w:val="24"/>
          <w:lang w:val="en-GB" w:eastAsia="ja-JP"/>
        </w:rPr>
        <w:t xml:space="preserve"> from the ENSDF library</w:t>
      </w:r>
      <w:r>
        <w:rPr>
          <w:rFonts w:eastAsia="MS Mincho"/>
          <w:snapToGrid w:val="0"/>
          <w:sz w:val="24"/>
          <w:lang w:val="en-GB" w:eastAsia="ja-JP"/>
        </w:rPr>
        <w:t xml:space="preserve">. </w:t>
      </w:r>
      <w:r w:rsidR="00C50738">
        <w:rPr>
          <w:rFonts w:eastAsia="MS Mincho"/>
          <w:snapToGrid w:val="0"/>
          <w:sz w:val="24"/>
          <w:lang w:val="en-GB" w:eastAsia="ja-JP"/>
        </w:rPr>
        <w:t>It</w:t>
      </w:r>
      <w:r w:rsidR="00AD74B8">
        <w:rPr>
          <w:rFonts w:eastAsia="MS Mincho"/>
          <w:snapToGrid w:val="0"/>
          <w:sz w:val="24"/>
          <w:lang w:val="en-GB" w:eastAsia="ja-JP"/>
        </w:rPr>
        <w:t xml:space="preserve"> shows no consistency for both radiation type and abundance.</w:t>
      </w:r>
    </w:p>
    <w:p w14:paraId="7958A169" w14:textId="0902E49A" w:rsidR="00261122" w:rsidRPr="00C50738" w:rsidRDefault="00031539" w:rsidP="00261122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lastRenderedPageBreak/>
        <w:t>We may have the</w:t>
      </w:r>
      <w:r w:rsidR="00C50738" w:rsidRPr="00C50738">
        <w:rPr>
          <w:rFonts w:eastAsia="MS Mincho"/>
          <w:snapToGrid w:val="0"/>
          <w:sz w:val="24"/>
          <w:lang w:val="en-GB" w:eastAsia="ja-JP"/>
        </w:rPr>
        <w:t xml:space="preserve"> </w:t>
      </w:r>
      <w:r>
        <w:rPr>
          <w:rFonts w:eastAsia="MS Mincho"/>
          <w:snapToGrid w:val="0"/>
          <w:sz w:val="24"/>
          <w:lang w:val="en-GB" w:eastAsia="ja-JP"/>
        </w:rPr>
        <w:t xml:space="preserve">following </w:t>
      </w:r>
      <w:r w:rsidR="00C50738" w:rsidRPr="00C50738">
        <w:rPr>
          <w:rFonts w:eastAsia="MS Mincho"/>
          <w:snapToGrid w:val="0"/>
          <w:sz w:val="24"/>
          <w:lang w:val="en-GB" w:eastAsia="ja-JP"/>
        </w:rPr>
        <w:t>two solutions for coding of decay data for annihilation γ detection:</w:t>
      </w:r>
    </w:p>
    <w:p w14:paraId="3B911F57" w14:textId="29EB6AFF" w:rsidR="00C50738" w:rsidRPr="00C50738" w:rsidRDefault="00C50738" w:rsidP="00261122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u w:val="single"/>
          <w:lang w:val="en-GB" w:eastAsia="ja-JP"/>
        </w:rPr>
      </w:pPr>
      <w:r w:rsidRPr="00C50738">
        <w:rPr>
          <w:rFonts w:eastAsia="MS Mincho"/>
          <w:snapToGrid w:val="0"/>
          <w:sz w:val="24"/>
          <w:u w:val="single"/>
          <w:lang w:val="en-GB" w:eastAsia="ja-JP"/>
        </w:rPr>
        <w:t>Solution 1</w:t>
      </w:r>
    </w:p>
    <w:p w14:paraId="0A5D230F" w14:textId="010B70A5" w:rsidR="00261122" w:rsidRPr="007523B3" w:rsidRDefault="00C50738" w:rsidP="00C50738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Use </w:t>
      </w:r>
      <w:r w:rsidR="00261122" w:rsidRPr="007523B3">
        <w:rPr>
          <w:rFonts w:eastAsia="MS Mincho"/>
          <w:snapToGrid w:val="0"/>
          <w:lang w:val="en-GB" w:eastAsia="ja-JP"/>
        </w:rPr>
        <w:t>DG</w:t>
      </w:r>
      <w:r w:rsidR="00261122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 w</w:t>
      </w:r>
      <w:r w:rsidR="005105B5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hen 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>the γ-ray intensity</w:t>
      </w:r>
      <w:r w:rsidR="005105B5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 is coded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. Use </w:t>
      </w:r>
      <w:r w:rsidR="00261122" w:rsidRPr="007523B3">
        <w:rPr>
          <w:rFonts w:eastAsia="MS Mincho"/>
          <w:snapToGrid w:val="0"/>
          <w:lang w:val="en-GB" w:eastAsia="ja-JP"/>
        </w:rPr>
        <w:t>AR</w:t>
      </w:r>
      <w:r w:rsidR="00261122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 when 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the </w:t>
      </w:r>
      <w:r w:rsidR="00660516" w:rsidRPr="007523B3">
        <w:rPr>
          <w:rFonts w:eastAsia="MS Mincho"/>
          <w:snapToGrid w:val="0"/>
          <w:sz w:val="24"/>
          <w:szCs w:val="24"/>
          <w:lang w:val="en-GB" w:eastAsia="ja-JP"/>
        </w:rPr>
        <w:t>γ-γ coincidence intensity (=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>β</w:t>
      </w:r>
      <w:r w:rsidRPr="007523B3">
        <w:rPr>
          <w:rFonts w:eastAsia="MS Mincho"/>
          <w:snapToGrid w:val="0"/>
          <w:sz w:val="24"/>
          <w:szCs w:val="24"/>
          <w:vertAlign w:val="superscript"/>
          <w:lang w:val="en-GB" w:eastAsia="ja-JP"/>
        </w:rPr>
        <w:t>+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>-ray intensity</w:t>
      </w:r>
      <w:r w:rsidR="00660516" w:rsidRPr="007523B3">
        <w:rPr>
          <w:rFonts w:eastAsia="MS Mincho"/>
          <w:snapToGrid w:val="0"/>
          <w:sz w:val="24"/>
          <w:szCs w:val="24"/>
          <w:lang w:val="en-GB" w:eastAsia="ja-JP"/>
        </w:rPr>
        <w:t>)</w:t>
      </w:r>
      <w:r w:rsidR="005105B5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 is coded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>.</w:t>
      </w:r>
    </w:p>
    <w:p w14:paraId="5D8EAAB7" w14:textId="485DAEAA" w:rsidR="00C50738" w:rsidRPr="007523B3" w:rsidRDefault="00C50738" w:rsidP="00FD3B6F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szCs w:val="24"/>
          <w:u w:val="single"/>
          <w:lang w:val="en-GB" w:eastAsia="ja-JP"/>
        </w:rPr>
      </w:pPr>
      <w:r w:rsidRPr="007523B3">
        <w:rPr>
          <w:rFonts w:eastAsia="MS Mincho"/>
          <w:snapToGrid w:val="0"/>
          <w:sz w:val="24"/>
          <w:szCs w:val="24"/>
          <w:u w:val="single"/>
          <w:lang w:val="en-GB" w:eastAsia="ja-JP"/>
        </w:rPr>
        <w:t>Solution 2</w:t>
      </w:r>
    </w:p>
    <w:p w14:paraId="4D02889F" w14:textId="3940EE62" w:rsidR="00C50738" w:rsidRPr="007523B3" w:rsidRDefault="00031539" w:rsidP="00C50738">
      <w:pPr>
        <w:tabs>
          <w:tab w:val="left" w:pos="993"/>
        </w:tabs>
        <w:jc w:val="both"/>
        <w:rPr>
          <w:rFonts w:eastAsia="MS Mincho"/>
          <w:snapToGrid w:val="0"/>
          <w:sz w:val="24"/>
          <w:szCs w:val="24"/>
          <w:lang w:val="en-GB" w:eastAsia="ja-JP"/>
        </w:rPr>
      </w:pPr>
      <w:r w:rsidRPr="007523B3">
        <w:rPr>
          <w:rFonts w:eastAsia="MS Mincho"/>
          <w:snapToGrid w:val="0"/>
          <w:sz w:val="24"/>
          <w:szCs w:val="24"/>
          <w:lang w:val="en-GB" w:eastAsia="ja-JP"/>
        </w:rPr>
        <w:t>Always us</w:t>
      </w:r>
      <w:r w:rsidR="00C50738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e </w:t>
      </w:r>
      <w:r w:rsidR="00C50738" w:rsidRPr="007523B3">
        <w:rPr>
          <w:rFonts w:eastAsia="MS Mincho"/>
          <w:snapToGrid w:val="0"/>
          <w:lang w:val="en-GB" w:eastAsia="ja-JP"/>
        </w:rPr>
        <w:t>AR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5105B5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Code 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the intensity </w:t>
      </w:r>
      <w:r w:rsidR="005105B5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written by the author </w:t>
      </w:r>
      <w:r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by two </w:t>
      </w:r>
      <w:r w:rsidR="00C50738" w:rsidRPr="007523B3">
        <w:rPr>
          <w:rFonts w:eastAsia="MS Mincho"/>
          <w:snapToGrid w:val="0"/>
          <w:sz w:val="24"/>
          <w:szCs w:val="24"/>
          <w:lang w:val="en-GB" w:eastAsia="ja-JP"/>
        </w:rPr>
        <w:t>when the author gives the β</w:t>
      </w:r>
      <w:r w:rsidR="00C50738" w:rsidRPr="007523B3">
        <w:rPr>
          <w:rFonts w:eastAsia="MS Mincho"/>
          <w:snapToGrid w:val="0"/>
          <w:sz w:val="24"/>
          <w:szCs w:val="24"/>
          <w:vertAlign w:val="superscript"/>
          <w:lang w:val="en-GB" w:eastAsia="ja-JP"/>
        </w:rPr>
        <w:t>+</w:t>
      </w:r>
      <w:r w:rsidR="00C50738" w:rsidRPr="007523B3">
        <w:rPr>
          <w:rFonts w:eastAsia="MS Mincho"/>
          <w:snapToGrid w:val="0"/>
          <w:sz w:val="24"/>
          <w:szCs w:val="24"/>
          <w:lang w:val="en-GB" w:eastAsia="ja-JP"/>
        </w:rPr>
        <w:t>-ray intensity</w:t>
      </w:r>
      <w:r w:rsidR="005105B5" w:rsidRPr="007523B3">
        <w:rPr>
          <w:rFonts w:eastAsia="MS Mincho"/>
          <w:snapToGrid w:val="0"/>
          <w:sz w:val="24"/>
          <w:szCs w:val="24"/>
          <w:lang w:val="en-GB" w:eastAsia="ja-JP"/>
        </w:rPr>
        <w:t xml:space="preserve"> instead of the γ-ray intensity.</w:t>
      </w:r>
    </w:p>
    <w:p w14:paraId="4E6B7275" w14:textId="77777777" w:rsidR="005105B5" w:rsidRPr="007523B3" w:rsidRDefault="005105B5" w:rsidP="00976CF3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bookmarkStart w:id="1" w:name="_Hlk57215433"/>
    </w:p>
    <w:p w14:paraId="2313E439" w14:textId="4222DC55" w:rsidR="005105B5" w:rsidRPr="007523B3" w:rsidRDefault="005105B5" w:rsidP="00976CF3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u w:val="single"/>
          <w:lang w:val="en-GB" w:eastAsia="ja-JP"/>
        </w:rPr>
      </w:pPr>
      <w:r w:rsidRPr="007523B3">
        <w:rPr>
          <w:rFonts w:eastAsia="MS Mincho"/>
          <w:snapToGrid w:val="0"/>
          <w:sz w:val="24"/>
          <w:u w:val="single"/>
          <w:lang w:val="en-GB" w:eastAsia="ja-JP"/>
        </w:rPr>
        <w:t>2. DECAY-DATA subfield name: “Abundance” or “Intensity”</w:t>
      </w:r>
    </w:p>
    <w:p w14:paraId="6B2EDCD5" w14:textId="1D72537D" w:rsidR="00976CF3" w:rsidRPr="007523B3" w:rsidRDefault="00976CF3" w:rsidP="00976CF3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7523B3">
        <w:rPr>
          <w:rFonts w:eastAsia="MS Mincho"/>
          <w:snapToGrid w:val="0"/>
          <w:sz w:val="24"/>
          <w:lang w:val="en-GB" w:eastAsia="ja-JP"/>
        </w:rPr>
        <w:t xml:space="preserve">Rename of the subfield “Abundance” to “Intensity” is additionally proposed by Viktor </w:t>
      </w:r>
      <w:proofErr w:type="spellStart"/>
      <w:r w:rsidRPr="007523B3">
        <w:rPr>
          <w:rFonts w:eastAsia="MS Mincho"/>
          <w:snapToGrid w:val="0"/>
          <w:sz w:val="24"/>
          <w:lang w:val="en-GB" w:eastAsia="ja-JP"/>
        </w:rPr>
        <w:t>Zerkin</w:t>
      </w:r>
      <w:proofErr w:type="spellEnd"/>
      <w:r w:rsidRPr="007523B3">
        <w:rPr>
          <w:rFonts w:eastAsia="MS Mincho"/>
          <w:snapToGrid w:val="0"/>
          <w:sz w:val="24"/>
          <w:lang w:val="en-GB" w:eastAsia="ja-JP"/>
        </w:rPr>
        <w:t xml:space="preserve"> (NDS) since</w:t>
      </w:r>
      <w:r w:rsidR="004D0A71" w:rsidRPr="007523B3">
        <w:rPr>
          <w:rFonts w:eastAsia="MS Mincho"/>
          <w:snapToGrid w:val="0"/>
          <w:sz w:val="24"/>
          <w:lang w:val="en-GB" w:eastAsia="ja-JP"/>
        </w:rPr>
        <w:t xml:space="preserve"> </w:t>
      </w:r>
      <w:r w:rsidR="00031539" w:rsidRPr="007523B3">
        <w:rPr>
          <w:rFonts w:eastAsia="MS Mincho"/>
          <w:snapToGrid w:val="0"/>
          <w:sz w:val="24"/>
          <w:lang w:val="en-GB" w:eastAsia="ja-JP"/>
        </w:rPr>
        <w:t xml:space="preserve">he considers that </w:t>
      </w:r>
      <w:r w:rsidR="004D0A71" w:rsidRPr="007523B3">
        <w:rPr>
          <w:rFonts w:eastAsia="MS Mincho"/>
          <w:snapToGrid w:val="0"/>
          <w:sz w:val="24"/>
          <w:lang w:val="en-GB" w:eastAsia="ja-JP"/>
        </w:rPr>
        <w:t>many users</w:t>
      </w:r>
      <w:r w:rsidRPr="007523B3">
        <w:rPr>
          <w:rFonts w:eastAsia="MS Mincho"/>
          <w:snapToGrid w:val="0"/>
          <w:sz w:val="24"/>
          <w:lang w:val="en-GB" w:eastAsia="ja-JP"/>
        </w:rPr>
        <w:t xml:space="preserve"> believe “abundance” usually means “isotopic abundance” in EXFOR.</w:t>
      </w:r>
      <w:r w:rsidR="00031539" w:rsidRPr="007523B3">
        <w:rPr>
          <w:rFonts w:eastAsia="MS Mincho"/>
          <w:snapToGrid w:val="0"/>
          <w:sz w:val="24"/>
          <w:lang w:val="en-GB" w:eastAsia="ja-JP"/>
        </w:rPr>
        <w:t xml:space="preserve"> </w:t>
      </w:r>
      <w:proofErr w:type="gramStart"/>
      <w:r w:rsidR="00031539" w:rsidRPr="007523B3">
        <w:rPr>
          <w:rFonts w:eastAsia="MS Mincho"/>
          <w:snapToGrid w:val="0"/>
          <w:sz w:val="24"/>
          <w:lang w:val="en-GB" w:eastAsia="ja-JP"/>
        </w:rPr>
        <w:t>Indeed</w:t>
      </w:r>
      <w:proofErr w:type="gramEnd"/>
      <w:r w:rsidR="00031539" w:rsidRPr="007523B3">
        <w:rPr>
          <w:rFonts w:eastAsia="MS Mincho"/>
          <w:snapToGrid w:val="0"/>
          <w:sz w:val="24"/>
          <w:lang w:val="en-GB" w:eastAsia="ja-JP"/>
        </w:rPr>
        <w:t xml:space="preserve"> we routinely see “intensity” in decay data compilations, and ENSDF and ENDF manuals adopt it. On the other hand, </w:t>
      </w:r>
      <w:r w:rsidR="005105B5" w:rsidRPr="007523B3">
        <w:rPr>
          <w:rFonts w:eastAsia="MS Mincho"/>
          <w:snapToGrid w:val="0"/>
          <w:sz w:val="24"/>
          <w:lang w:val="en-GB" w:eastAsia="ja-JP"/>
        </w:rPr>
        <w:t>this renaming</w:t>
      </w:r>
      <w:r w:rsidR="00031539" w:rsidRPr="007523B3">
        <w:rPr>
          <w:rFonts w:eastAsia="MS Mincho"/>
          <w:snapToGrid w:val="0"/>
          <w:sz w:val="24"/>
          <w:lang w:val="en-GB" w:eastAsia="ja-JP"/>
        </w:rPr>
        <w:t xml:space="preserve"> would add confusion</w:t>
      </w:r>
      <w:r w:rsidR="00660516" w:rsidRPr="007523B3">
        <w:rPr>
          <w:rFonts w:eastAsia="MS Mincho"/>
          <w:snapToGrid w:val="0"/>
          <w:sz w:val="24"/>
          <w:lang w:val="en-GB" w:eastAsia="ja-JP"/>
        </w:rPr>
        <w:t xml:space="preserve"> for those who are familiar with the current EXFOR convention</w:t>
      </w:r>
      <w:r w:rsidR="00031539" w:rsidRPr="007523B3">
        <w:rPr>
          <w:rFonts w:eastAsia="MS Mincho"/>
          <w:snapToGrid w:val="0"/>
          <w:sz w:val="24"/>
          <w:lang w:val="en-GB" w:eastAsia="ja-JP"/>
        </w:rPr>
        <w:t>.</w:t>
      </w:r>
    </w:p>
    <w:bookmarkEnd w:id="1"/>
    <w:p w14:paraId="1AC8F641" w14:textId="77777777" w:rsidR="005105B5" w:rsidRDefault="005105B5" w:rsidP="00031539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u w:val="single"/>
          <w:lang w:val="en-GB" w:eastAsia="ja-JP"/>
        </w:rPr>
      </w:pPr>
    </w:p>
    <w:p w14:paraId="6D584511" w14:textId="2BFCC2C6" w:rsidR="005105B5" w:rsidRPr="005105B5" w:rsidRDefault="005105B5" w:rsidP="00031539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u w:val="single"/>
          <w:lang w:val="en-GB" w:eastAsia="ja-JP"/>
        </w:rPr>
      </w:pPr>
      <w:r w:rsidRPr="005105B5">
        <w:rPr>
          <w:rFonts w:eastAsia="MS Mincho"/>
          <w:snapToGrid w:val="0"/>
          <w:sz w:val="24"/>
          <w:u w:val="single"/>
          <w:lang w:val="en-GB" w:eastAsia="ja-JP"/>
        </w:rPr>
        <w:t>3. Reference to decay data under REL-REF</w:t>
      </w:r>
    </w:p>
    <w:p w14:paraId="21A54B3A" w14:textId="0B12DA95" w:rsidR="00031539" w:rsidRPr="005105B5" w:rsidRDefault="00031539" w:rsidP="00031539">
      <w:pPr>
        <w:tabs>
          <w:tab w:val="left" w:pos="993"/>
        </w:tabs>
        <w:spacing w:before="240"/>
        <w:jc w:val="both"/>
        <w:rPr>
          <w:rFonts w:eastAsia="MS Mincho"/>
          <w:snapToGrid w:val="0"/>
          <w:sz w:val="24"/>
          <w:lang w:val="en-GB" w:eastAsia="ja-JP"/>
        </w:rPr>
      </w:pPr>
      <w:r w:rsidRPr="005105B5">
        <w:rPr>
          <w:rFonts w:eastAsia="MS Mincho"/>
          <w:snapToGrid w:val="0"/>
          <w:sz w:val="24"/>
          <w:lang w:val="en-GB" w:eastAsia="ja-JP"/>
        </w:rPr>
        <w:t xml:space="preserve">LEXFOR “DECAY-DATA” mentions that “If the data </w:t>
      </w:r>
      <w:r w:rsidRPr="005105B5">
        <w:rPr>
          <w:rFonts w:eastAsia="MS Mincho"/>
          <w:snapToGrid w:val="0"/>
          <w:sz w:val="24"/>
          <w:u w:val="single"/>
          <w:lang w:val="en-GB" w:eastAsia="ja-JP"/>
        </w:rPr>
        <w:t>given</w:t>
      </w:r>
      <w:r w:rsidRPr="005105B5">
        <w:rPr>
          <w:rFonts w:eastAsia="MS Mincho"/>
          <w:snapToGrid w:val="0"/>
          <w:sz w:val="24"/>
          <w:lang w:val="en-GB" w:eastAsia="ja-JP"/>
        </w:rPr>
        <w:t xml:space="preserve"> are taken from a known source, the reference for it may be coded under the keyword </w:t>
      </w:r>
      <w:r w:rsidRPr="005105B5">
        <w:rPr>
          <w:rFonts w:eastAsia="MS Mincho"/>
          <w:snapToGrid w:val="0"/>
          <w:lang w:val="en-GB" w:eastAsia="ja-JP"/>
        </w:rPr>
        <w:t>REL-REF</w:t>
      </w:r>
      <w:r w:rsidRPr="005105B5">
        <w:rPr>
          <w:rFonts w:eastAsia="MS Mincho"/>
          <w:snapToGrid w:val="0"/>
          <w:sz w:val="24"/>
          <w:lang w:val="en-GB" w:eastAsia="ja-JP"/>
        </w:rPr>
        <w:t>”. I think it is rather important to code the decay data reference when the author cites a decay data reference (e.g., Table of Isotopes) but without providing the decay data themselves in the EXFOR source article.</w:t>
      </w:r>
    </w:p>
    <w:p w14:paraId="20F95116" w14:textId="2B1CBE47" w:rsidR="00237F58" w:rsidRPr="005105B5" w:rsidRDefault="00237F58" w:rsidP="008F6CB2">
      <w:pPr>
        <w:tabs>
          <w:tab w:val="left" w:pos="993"/>
        </w:tabs>
        <w:jc w:val="center"/>
        <w:rPr>
          <w:rFonts w:eastAsia="MS Mincho"/>
          <w:snapToGrid w:val="0"/>
          <w:sz w:val="28"/>
          <w:szCs w:val="28"/>
          <w:lang w:val="en-GB" w:eastAsia="ja-JP"/>
        </w:rPr>
      </w:pPr>
    </w:p>
    <w:p w14:paraId="613A6288" w14:textId="26DCF1FD" w:rsidR="008F6CB2" w:rsidRDefault="008F6CB2" w:rsidP="008F6CB2">
      <w:pPr>
        <w:tabs>
          <w:tab w:val="left" w:pos="993"/>
        </w:tabs>
        <w:jc w:val="center"/>
        <w:rPr>
          <w:rFonts w:eastAsia="MS Mincho"/>
          <w:snapToGrid w:val="0"/>
          <w:sz w:val="28"/>
          <w:szCs w:val="28"/>
          <w:lang w:val="en-GB" w:eastAsia="ja-JP"/>
        </w:rPr>
      </w:pPr>
      <w:r w:rsidRPr="005105B5">
        <w:rPr>
          <w:rFonts w:eastAsia="MS Mincho"/>
          <w:snapToGrid w:val="0"/>
          <w:sz w:val="28"/>
          <w:szCs w:val="28"/>
          <w:lang w:val="en-GB" w:eastAsia="ja-JP"/>
        </w:rPr>
        <w:t>Proposed change in LEXFOR “Decay Data”</w:t>
      </w:r>
    </w:p>
    <w:p w14:paraId="053C3B66" w14:textId="01F80924" w:rsidR="00421B81" w:rsidRPr="00421B81" w:rsidRDefault="00421B81" w:rsidP="008F6CB2">
      <w:pPr>
        <w:tabs>
          <w:tab w:val="left" w:pos="993"/>
        </w:tabs>
        <w:jc w:val="center"/>
        <w:rPr>
          <w:rFonts w:eastAsia="MS Mincho"/>
          <w:snapToGrid w:val="0"/>
          <w:lang w:val="en-GB" w:eastAsia="ja-JP"/>
        </w:rPr>
      </w:pPr>
      <w:r w:rsidRPr="00421B81">
        <w:rPr>
          <w:rFonts w:eastAsia="MS Mincho"/>
          <w:snapToGrid w:val="0"/>
          <w:lang w:val="en-GB" w:eastAsia="ja-JP"/>
        </w:rPr>
        <w:t>(Many thanks to Otto Schwerer for formulating these sentences)</w:t>
      </w:r>
    </w:p>
    <w:p w14:paraId="5884D344" w14:textId="77777777" w:rsidR="008F6CB2" w:rsidRPr="005105B5" w:rsidRDefault="008F6CB2" w:rsidP="00D81592">
      <w:pPr>
        <w:jc w:val="both"/>
        <w:rPr>
          <w:b/>
          <w:sz w:val="24"/>
          <w:szCs w:val="24"/>
          <w:lang w:val="en-GB" w:eastAsia="ja-JP"/>
        </w:rPr>
      </w:pPr>
    </w:p>
    <w:p w14:paraId="1325CDC8" w14:textId="3C2E5522" w:rsidR="0031071B" w:rsidRPr="005105B5" w:rsidRDefault="008F6CB2" w:rsidP="00D81592">
      <w:pPr>
        <w:jc w:val="both"/>
        <w:rPr>
          <w:b/>
          <w:sz w:val="24"/>
          <w:szCs w:val="24"/>
          <w:lang w:val="en-GB" w:eastAsia="ja-JP"/>
        </w:rPr>
      </w:pPr>
      <w:r w:rsidRPr="005105B5">
        <w:rPr>
          <w:b/>
          <w:sz w:val="24"/>
          <w:szCs w:val="24"/>
          <w:lang w:val="en-GB" w:eastAsia="ja-JP"/>
        </w:rPr>
        <w:t>Decay Data</w:t>
      </w:r>
    </w:p>
    <w:p w14:paraId="29254CA0" w14:textId="666B4476" w:rsidR="008F6CB2" w:rsidRPr="005105B5" w:rsidRDefault="008F6CB2" w:rsidP="00D81592">
      <w:pPr>
        <w:jc w:val="both"/>
        <w:rPr>
          <w:bCs/>
          <w:sz w:val="24"/>
          <w:szCs w:val="24"/>
          <w:lang w:val="en-GB" w:eastAsia="ja-JP"/>
        </w:rPr>
      </w:pPr>
      <w:r w:rsidRPr="005105B5">
        <w:rPr>
          <w:bCs/>
          <w:sz w:val="24"/>
          <w:szCs w:val="24"/>
          <w:lang w:val="en-GB" w:eastAsia="ja-JP"/>
        </w:rPr>
        <w:t xml:space="preserve">(See also </w:t>
      </w:r>
      <w:r w:rsidRPr="005105B5">
        <w:rPr>
          <w:b/>
          <w:sz w:val="24"/>
          <w:szCs w:val="24"/>
          <w:lang w:val="en-GB" w:eastAsia="ja-JP"/>
        </w:rPr>
        <w:t>Half Lives</w:t>
      </w:r>
      <w:r w:rsidRPr="005105B5">
        <w:rPr>
          <w:bCs/>
          <w:sz w:val="24"/>
          <w:szCs w:val="24"/>
          <w:lang w:val="en-GB" w:eastAsia="ja-JP"/>
        </w:rPr>
        <w:t>)</w:t>
      </w:r>
    </w:p>
    <w:p w14:paraId="6319F04A" w14:textId="30D1A97C" w:rsidR="008F6CB2" w:rsidRPr="005105B5" w:rsidRDefault="008F6CB2" w:rsidP="00D81592">
      <w:pPr>
        <w:jc w:val="both"/>
        <w:rPr>
          <w:b/>
          <w:sz w:val="24"/>
          <w:szCs w:val="24"/>
          <w:lang w:val="en-GB" w:eastAsia="ja-JP"/>
        </w:rPr>
      </w:pPr>
      <w:r w:rsidRPr="005105B5">
        <w:rPr>
          <w:b/>
          <w:sz w:val="24"/>
          <w:szCs w:val="24"/>
          <w:lang w:val="en-GB" w:eastAsia="ja-JP"/>
        </w:rPr>
        <w:t>…</w:t>
      </w:r>
    </w:p>
    <w:p w14:paraId="4F5D5DE9" w14:textId="77777777" w:rsidR="00461A43" w:rsidRPr="007523B3" w:rsidRDefault="00461A43" w:rsidP="00461A43">
      <w:pPr>
        <w:jc w:val="both"/>
        <w:rPr>
          <w:bCs/>
          <w:sz w:val="24"/>
          <w:szCs w:val="24"/>
          <w:lang w:val="en-GB" w:eastAsia="ja-JP"/>
        </w:rPr>
      </w:pPr>
      <w:r w:rsidRPr="007523B3">
        <w:rPr>
          <w:bCs/>
          <w:sz w:val="24"/>
          <w:szCs w:val="24"/>
          <w:lang w:val="en-GB" w:eastAsia="ja-JP"/>
        </w:rPr>
        <w:t>Free text explanation is often desirable, for example, a statement on whether the decay data were obtained from the experiment or quoted from another source.</w:t>
      </w:r>
    </w:p>
    <w:p w14:paraId="4BE89EDE" w14:textId="2AF8A082" w:rsidR="00461A43" w:rsidRPr="007523B3" w:rsidRDefault="00461A43" w:rsidP="00461A43">
      <w:pPr>
        <w:pStyle w:val="ListParagraph"/>
        <w:numPr>
          <w:ilvl w:val="0"/>
          <w:numId w:val="19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7523B3">
        <w:rPr>
          <w:bCs/>
          <w:sz w:val="24"/>
          <w:szCs w:val="24"/>
          <w:lang w:val="en-GB" w:eastAsia="ja-JP"/>
        </w:rPr>
        <w:t>If the data given are taken from a known source, the reference for it may be coded under the keyword REL-REF (see Reference).</w:t>
      </w:r>
    </w:p>
    <w:p w14:paraId="6A9D8E10" w14:textId="2E82A319" w:rsidR="00461A43" w:rsidRPr="007523B3" w:rsidRDefault="00461A43" w:rsidP="00461A43">
      <w:pPr>
        <w:pStyle w:val="ListParagraph"/>
        <w:numPr>
          <w:ilvl w:val="0"/>
          <w:numId w:val="19"/>
        </w:numPr>
        <w:spacing w:before="240"/>
        <w:jc w:val="both"/>
        <w:rPr>
          <w:bCs/>
          <w:sz w:val="24"/>
          <w:szCs w:val="24"/>
          <w:lang w:val="en-GB" w:eastAsia="ja-JP"/>
        </w:rPr>
      </w:pPr>
      <w:r w:rsidRPr="007523B3">
        <w:rPr>
          <w:bCs/>
          <w:sz w:val="24"/>
          <w:szCs w:val="24"/>
          <w:lang w:val="en-GB" w:eastAsia="ja-JP"/>
        </w:rPr>
        <w:t>If the authors quote only the source of the decay data but not their numerical values, the source should always be coded under REL-REF.</w:t>
      </w:r>
    </w:p>
    <w:p w14:paraId="0AA655E7" w14:textId="495B86CE" w:rsidR="007523B3" w:rsidRDefault="007523B3" w:rsidP="000B4A9C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  <w:bookmarkStart w:id="2" w:name="_GoBack"/>
      <w:bookmarkEnd w:id="2"/>
    </w:p>
    <w:p w14:paraId="574F63FA" w14:textId="77777777" w:rsidR="000B4A9C" w:rsidRDefault="000B4A9C" w:rsidP="000B4A9C">
      <w:pPr>
        <w:jc w:val="both"/>
        <w:rPr>
          <w:b/>
          <w:sz w:val="24"/>
          <w:szCs w:val="24"/>
          <w:lang w:val="en-GB" w:eastAsia="ja-JP"/>
        </w:rPr>
      </w:pPr>
    </w:p>
    <w:p w14:paraId="2A3A4727" w14:textId="77777777" w:rsidR="000B4A9C" w:rsidRDefault="000B4A9C" w:rsidP="000B4A9C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18C85A8B" w14:textId="77777777" w:rsidR="000B4A9C" w:rsidRDefault="000B4A9C" w:rsidP="000B4A9C">
      <w:pPr>
        <w:jc w:val="both"/>
        <w:rPr>
          <w:bCs/>
          <w:sz w:val="24"/>
          <w:szCs w:val="24"/>
          <w:lang w:val="en-GB" w:eastAsia="ja-JP"/>
        </w:rPr>
        <w:sectPr w:rsidR="000B4A9C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94642E3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7780E7BC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27471F5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E8B2D97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6C60EEE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B9968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33D113C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6EFDB5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ABE2E4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1D0186D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E9F09BF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1645D93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10AA5A30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7252A30D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67460BB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053CCEE4" w14:textId="77777777" w:rsidR="000B4A9C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08D9BF0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2481F38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2867DA7C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33357E1F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2634322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B7488D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00B259F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5531A1CF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6C195691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231AF23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BCACD1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0E2A020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7C9BD1B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00C9C5F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7BC055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6326DE49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652A747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28C363FC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6ADF7118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1902888D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113D532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78ACC9E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7CA739E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CC24000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531E2467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6676C8B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08BBE44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2B30E164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D438742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72A89ED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49E31405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783E35A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09B5BDE1" w14:textId="77777777" w:rsidR="000B4A9C" w:rsidRDefault="000B4A9C" w:rsidP="000B4A9C">
      <w:pPr>
        <w:jc w:val="both"/>
        <w:rPr>
          <w:bCs/>
          <w:sz w:val="24"/>
          <w:szCs w:val="24"/>
          <w:lang w:val="en-GB" w:eastAsia="ja-JP"/>
        </w:rPr>
        <w:sectPr w:rsidR="000B4A9C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1C420D79" w14:textId="77777777" w:rsidR="000B4A9C" w:rsidRDefault="000B4A9C" w:rsidP="000B4A9C">
      <w:pPr>
        <w:jc w:val="both"/>
        <w:rPr>
          <w:bCs/>
          <w:sz w:val="24"/>
          <w:szCs w:val="24"/>
          <w:lang w:val="en-GB" w:eastAsia="ja-JP"/>
        </w:rPr>
      </w:pPr>
    </w:p>
    <w:p w14:paraId="2D0B9F4B" w14:textId="77777777" w:rsidR="000B4A9C" w:rsidRPr="0007080C" w:rsidRDefault="000B4A9C" w:rsidP="000B4A9C">
      <w:pPr>
        <w:jc w:val="both"/>
        <w:rPr>
          <w:b/>
          <w:sz w:val="24"/>
          <w:szCs w:val="24"/>
          <w:lang w:val="en-GB" w:eastAsia="ja-JP"/>
        </w:rPr>
      </w:pPr>
      <w:r w:rsidRPr="0007080C">
        <w:rPr>
          <w:b/>
          <w:sz w:val="24"/>
          <w:szCs w:val="24"/>
          <w:lang w:val="en-GB" w:eastAsia="ja-JP"/>
        </w:rPr>
        <w:t>cc:</w:t>
      </w:r>
    </w:p>
    <w:p w14:paraId="31EACCE6" w14:textId="77777777" w:rsidR="000B4A9C" w:rsidRPr="00D81592" w:rsidRDefault="000B4A9C" w:rsidP="000B4A9C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m.verpelli@iaea.org</w:t>
      </w:r>
    </w:p>
    <w:p w14:paraId="61B9F8BE" w14:textId="77777777" w:rsidR="000B4A9C" w:rsidRDefault="000B4A9C" w:rsidP="00D81592">
      <w:pPr>
        <w:jc w:val="both"/>
        <w:rPr>
          <w:b/>
          <w:sz w:val="24"/>
          <w:szCs w:val="24"/>
          <w:lang w:val="en-GB" w:eastAsia="ja-JP"/>
        </w:rPr>
        <w:sectPr w:rsidR="000B4A9C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71AD2C68" w14:textId="0B76D5D8" w:rsidR="0007080C" w:rsidRDefault="0007080C" w:rsidP="00AC562E">
      <w:pPr>
        <w:jc w:val="center"/>
        <w:rPr>
          <w:b/>
          <w:sz w:val="24"/>
          <w:szCs w:val="24"/>
          <w:lang w:val="en-GB" w:eastAsia="ja-JP"/>
        </w:rPr>
      </w:pPr>
      <w:r w:rsidRPr="00AC562E">
        <w:rPr>
          <w:b/>
          <w:sz w:val="24"/>
          <w:szCs w:val="24"/>
          <w:lang w:val="en-GB" w:eastAsia="ja-JP"/>
        </w:rPr>
        <w:lastRenderedPageBreak/>
        <w:t>Appendix</w:t>
      </w:r>
      <w:r w:rsidR="00AC562E">
        <w:rPr>
          <w:b/>
          <w:sz w:val="24"/>
          <w:szCs w:val="24"/>
          <w:lang w:val="en-GB" w:eastAsia="ja-JP"/>
        </w:rPr>
        <w:t xml:space="preserve">: </w:t>
      </w:r>
      <w:r w:rsidRPr="00A75E34">
        <w:rPr>
          <w:b/>
          <w:sz w:val="24"/>
          <w:szCs w:val="24"/>
          <w:lang w:val="en-GB" w:eastAsia="ja-JP"/>
        </w:rPr>
        <w:t xml:space="preserve">511 keV γ-rays (DG or AR) under DECAY-DATA in EXFOR Master </w:t>
      </w:r>
      <w:r w:rsidR="00A75E34" w:rsidRPr="00A75E34">
        <w:rPr>
          <w:b/>
          <w:sz w:val="24"/>
          <w:szCs w:val="24"/>
          <w:lang w:val="en-GB" w:eastAsia="ja-JP"/>
        </w:rPr>
        <w:t>(Ver.2020-09-25)</w:t>
      </w:r>
    </w:p>
    <w:p w14:paraId="0FBD7D00" w14:textId="77777777" w:rsidR="00A75E34" w:rsidRDefault="00A75E34" w:rsidP="00D81592">
      <w:pPr>
        <w:jc w:val="both"/>
        <w:rPr>
          <w:b/>
          <w:sz w:val="24"/>
          <w:szCs w:val="24"/>
          <w:lang w:val="en-GB" w:eastAsia="ja-JP"/>
        </w:rPr>
      </w:pPr>
    </w:p>
    <w:p w14:paraId="184A47E6" w14:textId="5AADE706" w:rsidR="00A75E34" w:rsidRPr="00A75E34" w:rsidRDefault="00766033" w:rsidP="00A75E34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“Type” (radiation type) </w:t>
      </w:r>
      <w:r w:rsidR="00A75E34" w:rsidRPr="00A75E34">
        <w:rPr>
          <w:bCs/>
          <w:sz w:val="24"/>
          <w:szCs w:val="24"/>
          <w:lang w:val="en-GB" w:eastAsia="ja-JP"/>
        </w:rPr>
        <w:t>shaded by green shows DG (AR) coded with the number of coincidences (γ-rays) per decay</w:t>
      </w:r>
      <w:r>
        <w:rPr>
          <w:bCs/>
          <w:sz w:val="24"/>
          <w:szCs w:val="24"/>
          <w:lang w:val="en-GB" w:eastAsia="ja-JP"/>
        </w:rPr>
        <w:t>, i.e.</w:t>
      </w:r>
      <w:r w:rsidR="00923B6C">
        <w:rPr>
          <w:bCs/>
          <w:sz w:val="24"/>
          <w:szCs w:val="24"/>
          <w:lang w:val="en-GB" w:eastAsia="ja-JP"/>
        </w:rPr>
        <w:t>, against</w:t>
      </w:r>
      <w:r w:rsidR="00237F58">
        <w:rPr>
          <w:bCs/>
          <w:sz w:val="24"/>
          <w:szCs w:val="24"/>
          <w:lang w:val="en-GB" w:eastAsia="ja-JP"/>
        </w:rPr>
        <w:t xml:space="preserve"> the proposed new rule.</w:t>
      </w:r>
    </w:p>
    <w:p w14:paraId="3367942A" w14:textId="0AFFBB8B" w:rsidR="00A75E34" w:rsidRDefault="00766033" w:rsidP="00A75E34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“I</w:t>
      </w:r>
      <w:r w:rsidR="00A75E34" w:rsidRPr="00A75E34">
        <w:rPr>
          <w:bCs/>
          <w:sz w:val="24"/>
          <w:szCs w:val="24"/>
          <w:lang w:val="en-GB" w:eastAsia="ja-JP"/>
        </w:rPr>
        <w:t>ntensity (ENSDF)</w:t>
      </w:r>
      <w:r>
        <w:rPr>
          <w:bCs/>
          <w:sz w:val="24"/>
          <w:szCs w:val="24"/>
          <w:lang w:val="en-GB" w:eastAsia="ja-JP"/>
        </w:rPr>
        <w:t>”</w:t>
      </w:r>
      <w:r w:rsidR="00A75E34" w:rsidRPr="00A75E34">
        <w:rPr>
          <w:bCs/>
          <w:sz w:val="24"/>
          <w:szCs w:val="24"/>
          <w:lang w:val="en-GB" w:eastAsia="ja-JP"/>
        </w:rPr>
        <w:t xml:space="preserve"> is</w:t>
      </w:r>
      <w:r w:rsidR="00237F58">
        <w:rPr>
          <w:bCs/>
          <w:sz w:val="24"/>
          <w:szCs w:val="24"/>
          <w:lang w:val="en-GB" w:eastAsia="ja-JP"/>
        </w:rPr>
        <w:t xml:space="preserve"> displayed</w:t>
      </w:r>
      <w:r w:rsidR="00A75E34" w:rsidRPr="00A75E34">
        <w:rPr>
          <w:bCs/>
          <w:sz w:val="24"/>
          <w:szCs w:val="24"/>
          <w:lang w:val="en-GB" w:eastAsia="ja-JP"/>
        </w:rPr>
        <w:t xml:space="preserve"> as </w:t>
      </w:r>
      <w:r w:rsidR="00237F58">
        <w:rPr>
          <w:bCs/>
          <w:sz w:val="24"/>
          <w:szCs w:val="24"/>
          <w:lang w:val="en-GB" w:eastAsia="ja-JP"/>
        </w:rPr>
        <w:t>its</w:t>
      </w:r>
      <w:r w:rsidR="00A75E34" w:rsidRPr="00A75E34">
        <w:rPr>
          <w:bCs/>
          <w:sz w:val="24"/>
          <w:szCs w:val="24"/>
          <w:lang w:val="en-GB" w:eastAsia="ja-JP"/>
        </w:rPr>
        <w:t xml:space="preserve"> upper boundary on the </w:t>
      </w:r>
      <w:proofErr w:type="spellStart"/>
      <w:r w:rsidR="00A75E34" w:rsidRPr="00A75E34">
        <w:rPr>
          <w:bCs/>
          <w:sz w:val="24"/>
          <w:szCs w:val="24"/>
          <w:lang w:val="en-GB" w:eastAsia="ja-JP"/>
        </w:rPr>
        <w:t>LiveChart</w:t>
      </w:r>
      <w:proofErr w:type="spellEnd"/>
      <w:r w:rsidR="00A75E34" w:rsidRPr="00A75E34">
        <w:rPr>
          <w:bCs/>
          <w:sz w:val="24"/>
          <w:szCs w:val="24"/>
          <w:lang w:val="en-GB" w:eastAsia="ja-JP"/>
        </w:rPr>
        <w:t xml:space="preserve"> of Nuclides.</w:t>
      </w:r>
    </w:p>
    <w:p w14:paraId="4DBF96C0" w14:textId="31BF51BB" w:rsidR="001F1E37" w:rsidRPr="00A75E34" w:rsidRDefault="00766033" w:rsidP="00A75E34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“</w:t>
      </w:r>
      <w:r w:rsidR="001F1E37">
        <w:rPr>
          <w:bCs/>
          <w:sz w:val="24"/>
          <w:szCs w:val="24"/>
          <w:lang w:val="en-GB" w:eastAsia="ja-JP"/>
        </w:rPr>
        <w:t>Ratio</w:t>
      </w:r>
      <w:r>
        <w:rPr>
          <w:bCs/>
          <w:sz w:val="24"/>
          <w:szCs w:val="24"/>
          <w:lang w:val="en-GB" w:eastAsia="ja-JP"/>
        </w:rPr>
        <w:t>”</w:t>
      </w:r>
      <w:r w:rsidR="001F1E37">
        <w:rPr>
          <w:bCs/>
          <w:sz w:val="24"/>
          <w:szCs w:val="24"/>
          <w:lang w:val="en-GB" w:eastAsia="ja-JP"/>
        </w:rPr>
        <w:t xml:space="preserve"> gives the intensity (EXFOR)/ intensity (ENSDF).</w:t>
      </w:r>
    </w:p>
    <w:p w14:paraId="688D0439" w14:textId="235A9CAA" w:rsidR="00A75E34" w:rsidRPr="00A75E34" w:rsidRDefault="00766033" w:rsidP="00A75E34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“</w:t>
      </w:r>
      <w:r w:rsidR="00A75E34" w:rsidRPr="00A75E34">
        <w:rPr>
          <w:bCs/>
          <w:sz w:val="24"/>
          <w:szCs w:val="24"/>
          <w:lang w:val="en-GB" w:eastAsia="ja-JP"/>
        </w:rPr>
        <w:t>Remark</w:t>
      </w:r>
      <w:r>
        <w:rPr>
          <w:bCs/>
          <w:sz w:val="24"/>
          <w:szCs w:val="24"/>
          <w:lang w:val="en-GB" w:eastAsia="ja-JP"/>
        </w:rPr>
        <w:t>”</w:t>
      </w:r>
      <w:r w:rsidR="00A75E34" w:rsidRPr="00A75E34">
        <w:rPr>
          <w:bCs/>
          <w:sz w:val="24"/>
          <w:szCs w:val="24"/>
          <w:lang w:val="en-GB" w:eastAsia="ja-JP"/>
        </w:rPr>
        <w:t xml:space="preserve"> is given when the ratio is not within 1.0±0.1 or 2.0±0.1.</w:t>
      </w:r>
    </w:p>
    <w:p w14:paraId="2006CF3A" w14:textId="77777777" w:rsidR="0007080C" w:rsidRDefault="0007080C" w:rsidP="00D81592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15588" w:type="dxa"/>
        <w:tblLook w:val="04A0" w:firstRow="1" w:lastRow="0" w:firstColumn="1" w:lastColumn="0" w:noHBand="0" w:noVBand="1"/>
      </w:tblPr>
      <w:tblGrid>
        <w:gridCol w:w="1555"/>
        <w:gridCol w:w="650"/>
        <w:gridCol w:w="1003"/>
        <w:gridCol w:w="1050"/>
        <w:gridCol w:w="1407"/>
        <w:gridCol w:w="683"/>
        <w:gridCol w:w="1375"/>
        <w:gridCol w:w="7865"/>
      </w:tblGrid>
      <w:tr w:rsidR="0007080C" w:rsidRPr="0007080C" w14:paraId="1D6C5605" w14:textId="77777777" w:rsidTr="00F03A33">
        <w:trPr>
          <w:trHeight w:val="2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11F1" w14:textId="77777777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b/>
                <w:bCs/>
                <w:color w:val="000000"/>
                <w:lang w:val="en-GB" w:eastAsia="ja-JP"/>
              </w:rPr>
              <w:t>Nuclide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2A3C" w14:textId="77777777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b/>
                <w:bCs/>
                <w:color w:val="000000"/>
                <w:lang w:val="en-GB" w:eastAsia="ja-JP"/>
              </w:rPr>
              <w:t>Type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17EA" w14:textId="22336612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proofErr w:type="spellStart"/>
            <w:r w:rsidRPr="0007080C">
              <w:rPr>
                <w:rFonts w:eastAsia="Times New Roman"/>
                <w:b/>
                <w:bCs/>
                <w:color w:val="000000"/>
                <w:lang w:val="en-GB" w:eastAsia="ja-JP"/>
              </w:rPr>
              <w:t>E</w:t>
            </w:r>
            <w:r w:rsidRPr="000B4A9C">
              <w:rPr>
                <w:b/>
                <w:bCs/>
                <w:color w:val="000000"/>
                <w:lang w:val="en-GB" w:eastAsia="ja-JP"/>
              </w:rPr>
              <w:t>γ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36DC" w14:textId="182905AB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>Intensity</w:t>
            </w: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  <w:t>(EXFOR)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15F" w14:textId="20BF49C4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>Intensity</w:t>
            </w: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  <w:t>(ENSDF)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ADF45" w14:textId="77777777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b/>
                <w:bCs/>
                <w:color w:val="000000"/>
                <w:lang w:val="en-GB" w:eastAsia="ja-JP"/>
              </w:rPr>
              <w:t>Ratio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3806" w14:textId="77777777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b/>
                <w:bCs/>
                <w:color w:val="000000"/>
                <w:lang w:val="en-GB" w:eastAsia="ja-JP"/>
              </w:rPr>
              <w:t>EXFOR #</w:t>
            </w: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35D7" w14:textId="77777777" w:rsidR="0007080C" w:rsidRPr="0007080C" w:rsidRDefault="0007080C" w:rsidP="0007080C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b/>
                <w:bCs/>
                <w:color w:val="000000"/>
                <w:lang w:val="en-GB" w:eastAsia="ja-JP"/>
              </w:rPr>
              <w:t>Remark</w:t>
            </w:r>
          </w:p>
        </w:tc>
      </w:tr>
      <w:tr w:rsidR="0007080C" w:rsidRPr="0007080C" w14:paraId="435C445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BA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F34C6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C2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E26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2E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88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5B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EC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E5E9D3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475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EC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724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581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7B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7E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0D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B0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963C34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1F4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B2C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10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E05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792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9E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91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D9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6E042C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678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55B12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4E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624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C43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69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4F4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C4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B7E79F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B3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8CB1C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D35F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76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21C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0DE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811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C9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EE8B9D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98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6306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BC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F0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92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B5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48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D3C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093E62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FF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1504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F1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425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343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DA6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72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B36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4C3B3B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7C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6-C-11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C95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BD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201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A6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A3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A5B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DC3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27A8E4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8B3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7-N-13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3369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55D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FF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A3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59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E1A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D5F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864C5A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AF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7-N-13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9793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9BF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16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CF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179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996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E7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7FDD05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44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7-N-13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0126F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1F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0A0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B3B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5E8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109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A1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46A5E7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1B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7-N-13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D506B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9F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24D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79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562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09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FBD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66F29A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BC8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7-N-13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C96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7B5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7DC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BA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EC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34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35C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96EC9C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9A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7-N-13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0E3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91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579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A1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4D5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000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FF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050A94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BD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8-O-14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88A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B79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462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31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71F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C6A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5B9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D5D0CB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B26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8-O-15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873D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ACC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B0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66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0C0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56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18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FDC6C9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6D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8-O-15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B6D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E6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CC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D8A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FA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24B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E5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736462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20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7F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3E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162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9E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469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09A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67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C4EA99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2B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8648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0D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D5C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49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00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D0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A6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E83F5F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15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17D9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AE1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03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347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70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9A7D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9B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F2A535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35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43DBD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FF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6C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06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EB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C8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FB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29838E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BF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48A89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EF4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75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A8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8AB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BB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AD0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3F3AB6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529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D88F55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1B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DC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BC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802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0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516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17BF67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2C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2BCA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5725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57F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4D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6E1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AB3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2E6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4905E3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4E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7F46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54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A7F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D15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48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01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749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3EBDF9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25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520D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19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1B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3E7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53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78E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B1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355401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97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94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98D9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00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51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B3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9D4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9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6FD9E6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0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133A9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24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549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1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257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8CD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E8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3137D9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92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9-F-18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9C1AF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FA3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6590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AF0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02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C99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28B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B9A614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63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10-NE-19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53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084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9A6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28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10B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6B9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9F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0610F8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0C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9D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60A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58E2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89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1A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A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1AB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FC6F48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E86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84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9F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EB6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E2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78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431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63A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18CF6F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D6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848F6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136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C20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C3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B59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27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24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20F844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12D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21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28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60EA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AF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04D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1B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A53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7DD94A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5C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11D2F9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DCD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E8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09D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AE71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00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A0523.004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6F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1398D43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BE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CD8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12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244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2B2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274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9F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16E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9FF464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221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D45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281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5C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02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AA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7C5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72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E12732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11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11-NA-22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569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F7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CF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66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0A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5F0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52F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2EAC7F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8F2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13-AL-26-M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62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0ED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20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94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89C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C0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677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9EDC04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83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15-P-30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F6D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6F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C8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DE3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8A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8B3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673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7CB1CA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53C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15-P-30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617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8F5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F07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A7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20B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EA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95B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4E74EF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21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17-CL-34-M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A1F9D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41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1F6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82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21689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5D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C2008.017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12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6B27AEC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4C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19-K-38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D4A55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7B4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04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C03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0D4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A2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FC4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0310AC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C07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21-SC-43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AD5E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53A7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3E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E8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EC8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F54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1A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032E51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9D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21-SC-43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F6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47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099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38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D12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6D9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70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8361B7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EC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21-SC-44-G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FD9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5B3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B9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94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A4B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086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43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F82F11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122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21-SC-44-G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04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30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9D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1060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8A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F9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CB8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A1DEAB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3E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21-SC-44-G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CCBB0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993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A64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3F7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45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9ED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475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DF920B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35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1F3E7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96E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DC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B73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7DC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984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A2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D8B6C1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43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A8B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135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37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0D6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E323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9022" w14:textId="3F40813B" w:rsidR="0007080C" w:rsidRPr="0007080C" w:rsidRDefault="0010026A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C0256.003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4F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4778B96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90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B5F83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557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86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12B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DD6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08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A0D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8CC5DC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F8C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48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B4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5E5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BA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013A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CAB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30962.002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BA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 xml:space="preserve">Typo? Question sent to </w:t>
            </w:r>
            <w:proofErr w:type="spellStart"/>
            <w:r w:rsidRPr="0007080C">
              <w:rPr>
                <w:rFonts w:eastAsia="Times New Roman"/>
                <w:color w:val="000000"/>
                <w:lang w:val="en-GB" w:eastAsia="ja-JP"/>
              </w:rPr>
              <w:t>Bhoraskar</w:t>
            </w:r>
            <w:proofErr w:type="spellEnd"/>
            <w:r w:rsidRPr="0007080C">
              <w:rPr>
                <w:rFonts w:eastAsia="Times New Roman"/>
                <w:color w:val="000000"/>
                <w:lang w:val="en-GB" w:eastAsia="ja-JP"/>
              </w:rPr>
              <w:t xml:space="preserve"> (2020-11-24).</w:t>
            </w:r>
          </w:p>
        </w:tc>
      </w:tr>
      <w:tr w:rsidR="0007080C" w:rsidRPr="0007080C" w14:paraId="2EFAF9F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C8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0781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51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BA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6E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FD2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937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D43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6283B6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F98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DC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C00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AC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68B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F4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CF5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2B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8AE9C8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B1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AC25EB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2E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48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74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10D6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F89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30640.004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C6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 -&gt; DG and 0.172 -&gt; 1.72 in DECAY-DATA</w:t>
            </w:r>
          </w:p>
        </w:tc>
      </w:tr>
      <w:tr w:rsidR="0007080C" w:rsidRPr="0007080C" w14:paraId="5784179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B4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3F4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60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790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5E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6D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037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575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235B12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24B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BB076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224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09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2D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87BB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80B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33001.007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D7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.70 -&gt; 1.70</w:t>
            </w:r>
          </w:p>
        </w:tc>
      </w:tr>
      <w:tr w:rsidR="0007080C" w:rsidRPr="0007080C" w14:paraId="3E9932E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65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864F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953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3D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3A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99B4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E3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D2E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954A02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7D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22-TI-45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FE37F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A6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E34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72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FD6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EA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A2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E56A02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38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23-V-47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4016D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D66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EB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80FD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FF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95E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B7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5980DF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CF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23-V-47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E71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38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C9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C3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22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4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E92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F0441C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3D9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23-V-47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70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8D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70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9D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70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4C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7D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74D570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96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23-V-47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1AC83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61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A6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E9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D37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33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77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C9AFCF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07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23-V-47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B01506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47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39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47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E1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F9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B09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0727E7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1A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23-V-47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FF9F9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C92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D07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33A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54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183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634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73735D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CBB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23-V-48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9A97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F1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8AB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D27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58E6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99CD" w14:textId="5E952BB1" w:rsidR="0007080C" w:rsidRPr="0007080C" w:rsidRDefault="0010026A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C0274.010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298F" w14:textId="75909EF5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 xml:space="preserve">(Ok. Both B+ and AR </w:t>
            </w:r>
            <w:r w:rsidR="00D2605B" w:rsidRPr="0007080C">
              <w:rPr>
                <w:rFonts w:eastAsia="Times New Roman"/>
                <w:color w:val="000000"/>
                <w:lang w:val="en-GB" w:eastAsia="ja-JP"/>
              </w:rPr>
              <w:t>counting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 xml:space="preserve"> performed.)</w:t>
            </w:r>
          </w:p>
        </w:tc>
      </w:tr>
      <w:tr w:rsidR="0007080C" w:rsidRPr="0007080C" w14:paraId="6DE5290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E36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24-CR-49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E64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D4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0B1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37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F3FB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9A69" w14:textId="79E03357" w:rsidR="0007080C" w:rsidRPr="0007080C" w:rsidRDefault="0010026A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33001.006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82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.86 -&gt; 1.86</w:t>
            </w:r>
          </w:p>
        </w:tc>
      </w:tr>
      <w:tr w:rsidR="0007080C" w:rsidRPr="0007080C" w14:paraId="4A509F1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3D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24-CR-49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93435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35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2E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C40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5B4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43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D3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E83962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D4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24-CR-49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FAEB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E419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8C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948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84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8A8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35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3A43CE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BA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24-CR-49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B479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B9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2D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546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CEA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A6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E73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48B153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BFE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24-CR-49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38E1EC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FA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B98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04A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2C4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365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C1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CF9B45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1F7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24-CR-49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0A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FD9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98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93C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49E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38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6F0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C8941A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42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24-CR-49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BB6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07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7223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EE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EB700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10.3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97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30962.003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95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 xml:space="preserve">Typo? Question sent to </w:t>
            </w:r>
            <w:proofErr w:type="spellStart"/>
            <w:r w:rsidRPr="0007080C">
              <w:rPr>
                <w:rFonts w:eastAsia="Times New Roman"/>
                <w:color w:val="000000"/>
                <w:lang w:val="en-GB" w:eastAsia="ja-JP"/>
              </w:rPr>
              <w:t>Bhoraskar</w:t>
            </w:r>
            <w:proofErr w:type="spellEnd"/>
            <w:r w:rsidRPr="0007080C">
              <w:rPr>
                <w:rFonts w:eastAsia="Times New Roman"/>
                <w:color w:val="000000"/>
                <w:lang w:val="en-GB" w:eastAsia="ja-JP"/>
              </w:rPr>
              <w:t xml:space="preserve"> (2020-11-24).</w:t>
            </w:r>
          </w:p>
        </w:tc>
      </w:tr>
      <w:tr w:rsidR="0007080C" w:rsidRPr="0007080C" w14:paraId="273096F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65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25-MN-51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A6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E7B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5B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A4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1.942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907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0A6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ED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0A0959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0E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25-MN-52-G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FE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FF2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D8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35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0.588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8CD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B4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D22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FC289B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61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25-MN-52-M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D8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EF74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7CC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812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E1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7D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B93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DF1414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B6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26-FE-53-G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53CC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7FB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AF2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24F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E6B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C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0D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1EEFD7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DDC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26-FE-53-G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86739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10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56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6B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34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078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9D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BB50BC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B96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26-FE-53-G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E2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34E5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AE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12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430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86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CB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22AD50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1B5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26-FE-53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77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9E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7E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A00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1.937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145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C3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B66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24FF44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43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27-CO-55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53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C8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A5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E70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1.518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5FF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982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672D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8844FA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0EC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27-CO-56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6F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6F1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C45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18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D979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6AB0" w14:textId="5A75523F" w:rsidR="0007080C" w:rsidRPr="0007080C" w:rsidRDefault="0010026A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C0274.005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D0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Both B+ and AR counting performed.)</w:t>
            </w:r>
          </w:p>
        </w:tc>
      </w:tr>
      <w:tr w:rsidR="0007080C" w:rsidRPr="0007080C" w14:paraId="0ACF1F3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D34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27-CO-58-G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E5E5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58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49B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F8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465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D3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3A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18BB1A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23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27-CO-58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86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48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11A6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F37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EEC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9E7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C74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3EBCDD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02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28-NI-57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B72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53D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2E2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A6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C1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CFF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B0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C186F0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086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28-NI-57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503D8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C1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41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97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08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AC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9CA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6668C4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C1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28-NI-57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8844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7E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FF9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CA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B6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8367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B0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26CDCC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5F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28-NI-57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F03AF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9B4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B7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D9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38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3B1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F0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E40C5A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25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28-NI-57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2E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BC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C1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E2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1C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85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77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3FE2F0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163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28-NI-57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1C7D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D1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A0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06C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F6C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714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B9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9EE562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657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67B5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30A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3A4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A34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E36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51E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7A3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524509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B97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47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7C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7AE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BD1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1F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48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A9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DFD35B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5A9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59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B3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63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B8F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552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204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F19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740273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C4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267DB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61B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B4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37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26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DC5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B8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B15743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10C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40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23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D7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0B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5F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01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AC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C5FB3D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95E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42B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FD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BF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4CB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C7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09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EC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4B4E3A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3E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50B3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5B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91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670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C2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0B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524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144FCA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500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FE9A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434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B1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98C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359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F44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0B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360A8E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83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406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30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F99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855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AF1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314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9F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C232A3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80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2C051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B4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4D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1FF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0E2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24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51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61F030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B99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DBF3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A2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84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305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B61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9D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98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F18FAE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99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160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08A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B1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3F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D6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00E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7A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59F089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749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4E791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E5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EB8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1F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28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64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5A1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5D0963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A23D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8B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AE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2D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0F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F82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741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9AD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4DE2C9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E9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BD9F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00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FB2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DC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43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49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B4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0D9C40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506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86F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DE7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DCE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DA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1.957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8D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F4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406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CC4005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CF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3B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4E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F89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74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BC1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B08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97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2D5058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E515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4B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E53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9F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F6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5C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FDC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89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C48D2D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C8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8BA1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7D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BD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6F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4B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AD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67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3F1E60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9C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47DB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DEA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C9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8C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8F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F6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D1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EC8E3C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E1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68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100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E3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57A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16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2A3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EB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4FC16F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646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791768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C7A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2A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D3C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49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C72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68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3720FB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35A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66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ED1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29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886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98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53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2B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A3A493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1A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226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E83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45C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C1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321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FA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04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40F794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CAC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C0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4C3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335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4D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06FC8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07C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D0162.007, D0162.013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792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0D8902B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B9E8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D0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279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1AE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25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13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FD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4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5E1CFC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0E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63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584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838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90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DE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8D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E2C9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7B8C52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22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F8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1E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1D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2F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010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B7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0F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EE3B2E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573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6C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ED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2C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4B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FB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0D5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8D9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8F005A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A0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866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07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F55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B0B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9A8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A6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CA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4A6ADD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9D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1C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75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7C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525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0A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40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23A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22A0AB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C15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BF5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1D9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01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523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F5B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A4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EB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3A3507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9D1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2B6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AF1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E66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6C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CF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3F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13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62596F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3BCA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31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9A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35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530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1C5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F5B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AC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32F3F2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63E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8DD35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26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9BB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9A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46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A1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65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E3CC2A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E8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30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2544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D5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E82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F4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E09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735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056662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457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14769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C0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0C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C60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D1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563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06E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0AAF96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890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88236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391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1B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095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64F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06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B03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6A3369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C7B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EB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C6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FC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311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7E5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D0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432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53B13C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CE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9C7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3F4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233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E2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7D7B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C8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866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624B67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79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0A39D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78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95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DD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F8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11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92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2991A4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1C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29-CU-64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E8CE0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E9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DF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0F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0FA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4F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BB6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473789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416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30-ZN-62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E2FE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539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FA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01D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0.164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E7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54C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8A1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3B3389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D3D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30-ZN-63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91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770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50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338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206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C6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77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58FA25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DDB2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30-ZN-63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73A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BDE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4B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54D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38E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3D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9A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443063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E2D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30-ZN-63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EF8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DCD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54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A3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79D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5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F6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AF755A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16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30-ZN-63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09B726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9F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1E0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4D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77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28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B2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09C666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9A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30-ZN-65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47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7F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43A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567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0E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C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CAD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BCBDAB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24D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30-ZN-71-G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67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A5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43B1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CD73" w14:textId="444898CC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D8792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FA0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14468.006, 14468.007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E0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511.6 keV gamma line irrelevant to annihilation.)</w:t>
            </w:r>
          </w:p>
        </w:tc>
      </w:tr>
      <w:tr w:rsidR="0007080C" w:rsidRPr="0007080C" w14:paraId="7F6B440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B42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30-ZN-71-G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460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A9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725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0BC3" w14:textId="0BA2B556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4B179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27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21892.003, 21892.006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91D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511.6 keV gamma line irrelevant to annihilation. ENSDF gives 32.00%.)</w:t>
            </w:r>
          </w:p>
        </w:tc>
      </w:tr>
      <w:tr w:rsidR="0007080C" w:rsidRPr="0007080C" w14:paraId="6D7D270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35E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31-GA-65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9C0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2E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83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3D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1550E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B2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C0269.021, C0296.002, C0296.003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C3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Two gammas detected in coincidence.)</w:t>
            </w:r>
          </w:p>
        </w:tc>
      </w:tr>
      <w:tr w:rsidR="0007080C" w:rsidRPr="0007080C" w14:paraId="2341882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98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31-GA-66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0FE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A50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656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80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0EEDF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5C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C0269,020, C0269.023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45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Two gammas detected in coincidence.)</w:t>
            </w:r>
          </w:p>
        </w:tc>
      </w:tr>
      <w:tr w:rsidR="0007080C" w:rsidRPr="0007080C" w14:paraId="61D1EFE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02D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31-GA-66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C8A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999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3D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686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8F69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8A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C0296.002, C0296.003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6F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Two gammas detected in coincidence.)</w:t>
            </w:r>
          </w:p>
        </w:tc>
      </w:tr>
      <w:tr w:rsidR="0007080C" w:rsidRPr="0007080C" w14:paraId="04DA4F2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9E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31-GA-66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3B4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48D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F98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259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B8AA8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11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C0831.005, C0831.008, C0831.011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EC4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0.879 -&gt; 0.5654</w:t>
            </w:r>
          </w:p>
        </w:tc>
      </w:tr>
      <w:tr w:rsidR="0007080C" w:rsidRPr="0007080C" w14:paraId="640E18A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C82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31-GA-68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E2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51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C8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307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1.778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2B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19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4F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1FC4C3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5D2E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31-GA-70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64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E2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58F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272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A940C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2C1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C0269.011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77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 -&gt; B- and delete 511.</w:t>
            </w:r>
          </w:p>
        </w:tc>
      </w:tr>
      <w:tr w:rsidR="0007080C" w:rsidRPr="0007080C" w14:paraId="11EED19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F56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31-GA-72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39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D19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33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C2D5" w14:textId="0F5505C8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4525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85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C0492.002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69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64Cu decay data are wrongly coded.</w:t>
            </w:r>
          </w:p>
        </w:tc>
      </w:tr>
      <w:tr w:rsidR="0007080C" w:rsidRPr="0007080C" w14:paraId="39DAD9F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3DB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77F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B95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15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4AD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64819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81C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C0296.002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C96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Two gammas detected in coincidence.)</w:t>
            </w:r>
          </w:p>
        </w:tc>
      </w:tr>
      <w:tr w:rsidR="0007080C" w:rsidRPr="0007080C" w14:paraId="3805DCD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D45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C2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18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13E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41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5C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B5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D0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F06B86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88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4FD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2C0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97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602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783B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12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C0296.002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A04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31-GA-68.</w:t>
            </w:r>
          </w:p>
        </w:tc>
      </w:tr>
      <w:tr w:rsidR="0007080C" w:rsidRPr="0007080C" w14:paraId="7B8150D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797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FA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3D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30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34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85D3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5D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C0831.002, C0831.016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302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31-GA-68.</w:t>
            </w:r>
          </w:p>
        </w:tc>
      </w:tr>
      <w:tr w:rsidR="0007080C" w:rsidRPr="0007080C" w14:paraId="36AD1F1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2D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CCA4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C9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59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0C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C30BE8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81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11825.002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D13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6822ECC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F6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49A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634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7B8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D6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C837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36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20770.002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100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457A636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81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667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CE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68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43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B63BB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68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C0296.002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67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Two gammas detected in coincidence.)</w:t>
            </w:r>
          </w:p>
        </w:tc>
      </w:tr>
      <w:tr w:rsidR="0007080C" w:rsidRPr="0007080C" w14:paraId="46A0A1A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5A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E0A31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A0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D64C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85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C7FC3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82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20536.013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566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3C5EB73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932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32-GE-69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13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FB7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6B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A42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814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68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7DC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E40E67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8CD1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33-AS-74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F5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A73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71C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03B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37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06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FE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A30C03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00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33-AS-74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EF055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ED9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A4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802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F3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A5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95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0BE19D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D5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34-SE-73-G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5E8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75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BD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50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12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07B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7D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577737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1832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35-BR-75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3E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95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332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4B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1.492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CAED3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9.7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F47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D0082.002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4A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0.1536 -&gt; 1.536</w:t>
            </w:r>
          </w:p>
        </w:tc>
      </w:tr>
      <w:tr w:rsidR="0007080C" w:rsidRPr="0007080C" w14:paraId="201FBEC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C1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35-BR-76-G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369F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307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87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1.330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6C9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F3146FA" w14:textId="77777777" w:rsidR="0007080C" w:rsidRPr="0007080C" w:rsidRDefault="0007080C" w:rsidP="0007080C">
            <w:pPr>
              <w:rPr>
                <w:rFonts w:eastAsia="Times New Roman"/>
                <w:lang w:val="en-GB" w:eastAsia="ja-JP"/>
              </w:rPr>
            </w:pPr>
            <w:r w:rsidRPr="0007080C">
              <w:rPr>
                <w:rFonts w:eastAsia="Times New Roman"/>
                <w:lang w:val="en-GB" w:eastAsia="ja-JP"/>
              </w:rPr>
              <w:t>0.8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BD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O0327.014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ADA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0905C29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B8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35-BR-76-G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22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596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D3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DFB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928A0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A30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C0300.002, C0300.003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37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39757831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CA8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35-BR-78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B2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36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B0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0D4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11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F6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E24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34E15A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CF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35-BR-78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DF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B17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9C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949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C81060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E62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33001.005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5B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0.840 -&gt; 1.84</w:t>
            </w:r>
          </w:p>
        </w:tc>
      </w:tr>
      <w:tr w:rsidR="0007080C" w:rsidRPr="0007080C" w14:paraId="6EB8A91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69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35-BR-78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D9C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16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1EC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43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21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8F2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176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C75C8B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677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36-KR-77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1C2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72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EE3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93A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1.683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63B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A1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38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F34AFC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7C1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36-KR-79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1C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CE8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72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67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0.140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4EA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C1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90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DB4472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F0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37-RB-84-G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5B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3A5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063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A5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3CB0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BF6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20891.003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55A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1C7F828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5D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37-RB-84-G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BE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AB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D0B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0.380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86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0.514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4DCE2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E92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A0011.003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644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5FCA6AB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E8E1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38-SR-82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F2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0DA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3C4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02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A337D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0EE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C0339.002, C0339.004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60C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37-RB-82-G.</w:t>
            </w:r>
          </w:p>
        </w:tc>
      </w:tr>
      <w:tr w:rsidR="0007080C" w:rsidRPr="0007080C" w14:paraId="778FF9B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E5C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39-Y-88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96B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52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D9B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238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62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04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7F2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86E9BA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00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39-Y-91-M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F3D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78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3E4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6FC2" w14:textId="5C12EA6A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3F2B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59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O0594.012, O0594.016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EEC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555.57 keV gamma line irrelevant to annihilation.)</w:t>
            </w:r>
          </w:p>
        </w:tc>
      </w:tr>
      <w:tr w:rsidR="0007080C" w:rsidRPr="0007080C" w14:paraId="35C0BA6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B2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39-Y-91-M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5E3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9F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6A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70BA" w14:textId="11899CF0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7378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19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O0594.004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E7E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 -&gt; DG</w:t>
            </w:r>
          </w:p>
        </w:tc>
      </w:tr>
      <w:tr w:rsidR="0007080C" w:rsidRPr="0007080C" w14:paraId="78492B6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80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40-ZR-89-G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6E0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C1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F9E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97D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0.455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C92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CF6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89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EFB61E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FB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61BD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E1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D3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35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C2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421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52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A3E979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717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17F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3D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C92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8D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675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6A6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6C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EB63B2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AF7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046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7C8A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4A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BF1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1CB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F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5C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7A994B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BE2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EC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56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69D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3C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0AA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E55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FC5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26073E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939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D09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4D8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DC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45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3E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72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DF9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121B91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7E5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DC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515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79E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B5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1.875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025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A2C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0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EFBB3E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68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39D7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40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51E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C7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0.8816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6A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E59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B4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1B0D6B9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CCE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42-MO-91-M1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68EC3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B9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08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4E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BC35E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A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30601.002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F81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M1 -&gt; M</w:t>
            </w:r>
          </w:p>
        </w:tc>
      </w:tr>
      <w:tr w:rsidR="0007080C" w:rsidRPr="0007080C" w14:paraId="087DA635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88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44-RU-95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4B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F78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2DE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6F8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0.279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4D16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C79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R0048.002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84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2A8D2F7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DE35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44-RU-106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87C1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65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D7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3FB9" w14:textId="752DD61A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9CD6C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0CC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13286.002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F528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45-RH-106-G. (511.86 keV gamma line irrelevant to annihilation).</w:t>
            </w:r>
          </w:p>
        </w:tc>
      </w:tr>
      <w:tr w:rsidR="0007080C" w:rsidRPr="0007080C" w14:paraId="57FE63F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24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44-RU-106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14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BB5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C0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7041" w14:textId="7179091F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76E42B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E6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32636.001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3BE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45-RH-106-G. (511.86 keV gamma line irrelevant to annihilation).</w:t>
            </w:r>
          </w:p>
        </w:tc>
      </w:tr>
      <w:tr w:rsidR="0007080C" w:rsidRPr="0007080C" w14:paraId="54618B4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BA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44-RU-106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CE4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A3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2B1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7603" w14:textId="389EB565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F24F9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342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22425.001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E68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45-RH-106-G. (511.86 keV gamma line irrelevant to annihilation).</w:t>
            </w:r>
          </w:p>
        </w:tc>
      </w:tr>
      <w:tr w:rsidR="0007080C" w:rsidRPr="0007080C" w14:paraId="7EAE75E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128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44-RU-106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FE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4A2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36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84493" w14:textId="43F71E59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DB898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D15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30787.001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F9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45-RH-106-M. (511.7 keV gamma line irrelevant to annihilation).</w:t>
            </w:r>
          </w:p>
        </w:tc>
      </w:tr>
      <w:tr w:rsidR="0007080C" w:rsidRPr="0007080C" w14:paraId="4ECDE80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AE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45-RH-102-G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0B0423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945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BD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67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00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170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94F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C4DB7D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362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45-RH-102-G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0C03B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F20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C3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B6D3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00B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70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B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F480D2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F7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45-RH-102-G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79A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116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8C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0CF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0.294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DCE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C7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F3E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269E2D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A2D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45-RH-106-G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36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39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F4E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D0A1" w14:textId="0981298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B1BA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16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30691.002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9FD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511.86 keV gamma line irrelevant to annihilation.)</w:t>
            </w:r>
          </w:p>
        </w:tc>
      </w:tr>
      <w:tr w:rsidR="0007080C" w:rsidRPr="0007080C" w14:paraId="75B97F9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07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45-RH-106-M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53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EEB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D56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360C" w14:textId="41DFE993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 β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+ decay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8C6203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68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O0768.138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4B6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511.7 keV gamma line irrelevant to annihilation.)</w:t>
            </w:r>
          </w:p>
        </w:tc>
      </w:tr>
      <w:tr w:rsidR="0007080C" w:rsidRPr="0007080C" w14:paraId="6E1A971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ACA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47-AG-106-G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47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DD1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A57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E1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1.182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73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4D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21400.005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D5E5" w14:textId="77777777" w:rsidR="0007080C" w:rsidRPr="0007080C" w:rsidRDefault="0007080C" w:rsidP="0007080C">
            <w:pPr>
              <w:rPr>
                <w:rFonts w:eastAsia="Times New Roman"/>
                <w:lang w:val="en-GB" w:eastAsia="ja-JP"/>
              </w:rPr>
            </w:pPr>
            <w:r w:rsidRPr="0007080C">
              <w:rPr>
                <w:rFonts w:eastAsia="Times New Roman"/>
                <w:lang w:val="en-GB" w:eastAsia="ja-JP"/>
              </w:rPr>
              <w:t>Delete both half-life and intensity (not in the article).</w:t>
            </w:r>
          </w:p>
        </w:tc>
      </w:tr>
      <w:tr w:rsidR="0007080C" w:rsidRPr="0007080C" w14:paraId="5E63DC2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44D7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47-AG-106-M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9F2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55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2FA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C70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39CDA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0A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O0768.053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400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511.85 keV gamma line irrelevant to annihilation.)</w:t>
            </w:r>
          </w:p>
        </w:tc>
      </w:tr>
      <w:tr w:rsidR="0007080C" w:rsidRPr="0007080C" w14:paraId="35F7FBE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D5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47-AG-106-M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984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976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07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80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E405E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48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21709.006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49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511.85 keV gamma line irrelevant to annihilation.)</w:t>
            </w:r>
          </w:p>
        </w:tc>
      </w:tr>
      <w:tr w:rsidR="0007080C" w:rsidRPr="0007080C" w14:paraId="0764225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87E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47-AG-106-M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A1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4FB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511.842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C5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109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2358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A1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F1269.003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FB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511.85 keV gamma line irrelevant to annihilation.)</w:t>
            </w:r>
          </w:p>
        </w:tc>
      </w:tr>
      <w:tr w:rsidR="0007080C" w:rsidRPr="0007080C" w14:paraId="1AB1C5F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65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EA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40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1B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6D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6D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073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10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0F8926F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0F2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A22B39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33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D6F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31A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9E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FF8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B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8A50E7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B0C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7EF4E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FB5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C84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4D7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17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03F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085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F8688E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2C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623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8F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DC5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BB0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89837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0FA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21106.003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565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4CE5F8C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6B6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0AACF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15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9F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861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91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3C3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B0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B40FEC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9A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050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8F9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A0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53EE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04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BAC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EB6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941835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C8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227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CEF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53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5F4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E09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89A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A25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834A5D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1A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49-IN-112-G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FEDE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46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16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9BA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0.480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57A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1A9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895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1314FB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539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50-SN-111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7E3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9EB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3FD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78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D5F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88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79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96B439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6C6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51-SB-118-G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A3B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CBF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BCA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1.550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CD7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1.470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B31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F61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A9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8E0FA1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829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51-SB-118-G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FB6F6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200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09E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8C6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1.470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A5ED8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40A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A0121.003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CE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1.00 -&gt; 1.55</w:t>
            </w:r>
          </w:p>
        </w:tc>
      </w:tr>
      <w:tr w:rsidR="0007080C" w:rsidRPr="0007080C" w14:paraId="48F9AC7A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5C5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51-SB-118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2B50B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77E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81F9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1.550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0C2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1.470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D6E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737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00E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C02089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9E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51-SB-120-G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9C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2C4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B9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3E6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F7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49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73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8DCF22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14D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51-SB-120-G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062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07A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052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9C8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E94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F0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21400.006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2F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Delete both half-life and intensity (not in the article).</w:t>
            </w:r>
          </w:p>
        </w:tc>
      </w:tr>
      <w:tr w:rsidR="0007080C" w:rsidRPr="0007080C" w14:paraId="090CC80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D4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52-TE-118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068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E15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F1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1.500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DAC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8A7B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59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C0094.002, C0094.003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F52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51-SB-118.</w:t>
            </w:r>
          </w:p>
        </w:tc>
      </w:tr>
      <w:tr w:rsidR="0007080C" w:rsidRPr="0007080C" w14:paraId="62C5F12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BA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53-I-119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6A5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CEC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FC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8B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1EF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959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52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58ED14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8C4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53-I-120-G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D355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FA3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D30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164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1.366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52F6E2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5EC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C0347.012.1, C0347.013.1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C4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05E8DAE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FD8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53-I-120-G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56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9F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B9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A1B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1.366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CA01D4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110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O0327.015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D48D" w14:textId="46AD1CF5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</w:t>
            </w:r>
            <w:r w:rsidR="00E67627">
              <w:rPr>
                <w:rFonts w:eastAsia="Times New Roman"/>
                <w:color w:val="000000"/>
                <w:lang w:val="en-GB" w:eastAsia="ja-JP"/>
              </w:rPr>
              <w:t>k</w:t>
            </w:r>
            <w:r w:rsidRPr="0007080C">
              <w:rPr>
                <w:rFonts w:eastAsia="Times New Roman"/>
                <w:color w:val="000000"/>
                <w:lang w:val="en-GB" w:eastAsia="ja-JP"/>
              </w:rPr>
              <w:t>)</w:t>
            </w:r>
          </w:p>
        </w:tc>
      </w:tr>
      <w:tr w:rsidR="0007080C" w:rsidRPr="0007080C" w14:paraId="2E94379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78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53-I-121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EE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814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BE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D78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CBF37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EB0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O0327.015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9B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422AF632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40C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53-I-122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339A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58D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68E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1.300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108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1.563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4701E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19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O0327.015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290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020C2B7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BC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53-I-124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D42AC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A2D2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D34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7D9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52ECC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EBC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C0347.006.2, C0347.007.2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2EC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4CD11020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488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lastRenderedPageBreak/>
              <w:t>55-CS-125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23C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49E1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1B3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048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0.795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A64A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02D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C0375.008, C0375.014, C0375.016, C0375.018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62D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Two gammas detected in coincidence.)</w:t>
            </w:r>
          </w:p>
        </w:tc>
      </w:tr>
      <w:tr w:rsidR="0007080C" w:rsidRPr="0007080C" w14:paraId="17EEE17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67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55-CS-127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3FB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866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3D99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49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0.061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02016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147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C0375.002, C0375.004, C0375.008, C0375.014, C0375.015, C0375.016, C0375.018, C0375.019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3F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Two gammas detected in coincidence.)</w:t>
            </w:r>
          </w:p>
        </w:tc>
      </w:tr>
      <w:tr w:rsidR="0007080C" w:rsidRPr="0007080C" w14:paraId="6A92FD7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60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55-CS-130-G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748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C02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381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B27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315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5D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8B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6042A0A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62D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59-PR-139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C31E4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892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08A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37E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0.166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2E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A3F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0EC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8CCFA24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A3E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59-PR-140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0F92D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108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F8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48A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F8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70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72A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CCEE0AB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FFC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59-PR-140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96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9B8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49A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6D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A9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93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A9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30AD25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E3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60-ND-140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C939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D52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772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126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AE96D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4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C0321.002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A1B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59-PR-140.</w:t>
            </w:r>
          </w:p>
        </w:tc>
      </w:tr>
      <w:tr w:rsidR="0007080C" w:rsidRPr="0007080C" w14:paraId="5CE0015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926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60-ND-140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320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4F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0F3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3E96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8EEC28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9D4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C0378.002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2CF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59-PR-140.</w:t>
            </w:r>
          </w:p>
        </w:tc>
      </w:tr>
      <w:tr w:rsidR="0007080C" w:rsidRPr="0007080C" w14:paraId="51FA1CEE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BCF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60-ND-140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6A0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624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B9F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552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37AA9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A44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O1352.007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2CB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The radiation field must be under 59-PR-140.</w:t>
            </w:r>
          </w:p>
        </w:tc>
      </w:tr>
      <w:tr w:rsidR="0007080C" w:rsidRPr="0007080C" w14:paraId="1982B22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B60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60-ND-141-G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C1D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42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BB8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A0E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91C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C9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D6F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2F91C1D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F49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60-ND-141-G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28031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6DD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747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E159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B85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DF1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5EC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AA0191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49F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60-ND-141-G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7CE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656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4F8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B48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5C3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7F7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287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140C389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B2F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60-ND-141-G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AB3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DA0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481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8D1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82A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0B5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5F3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7DBD8FEF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52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62-SM-143-G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7689D2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D0F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478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0D7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2301D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B25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10477.015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71B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68CC4D66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7B9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62-SM-143-G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23E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403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35E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795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D2FC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E23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8907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51F2C7FC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262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62-SM-143-G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C0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2FB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A65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B55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624407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2DD5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20541.019, 30682.007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04BE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57DCA1B7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FC0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62-SM-143-G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0DC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78F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32A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473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0.898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4626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D2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C462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441BEAC3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D99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73-TA-174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BAC0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4BC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289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0.760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5EF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0.472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9172EB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498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C0402.002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CE0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(Ok)</w:t>
            </w:r>
          </w:p>
        </w:tc>
      </w:tr>
      <w:tr w:rsidR="0007080C" w:rsidRPr="0007080C" w14:paraId="4FB3CAAD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1D3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73-TA-178-G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50FDA23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6707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D4A1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11A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0.0248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EAD6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1.1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FED8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92FC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07080C" w:rsidRPr="0007080C" w14:paraId="34D9D788" w14:textId="77777777" w:rsidTr="00F03A33">
        <w:trPr>
          <w:trHeight w:val="28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335E0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84-PO-206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A2D9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3BD1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511.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AAB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6754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AC7DF7A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0.0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1C9D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A0026.089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B64F" w14:textId="77777777" w:rsidR="0007080C" w:rsidRPr="0007080C" w:rsidRDefault="0007080C" w:rsidP="0007080C">
            <w:pPr>
              <w:rPr>
                <w:rFonts w:eastAsia="Times New Roman"/>
                <w:color w:val="000000"/>
                <w:lang w:val="en-GB" w:eastAsia="ja-JP"/>
              </w:rPr>
            </w:pPr>
            <w:r w:rsidRPr="0007080C">
              <w:rPr>
                <w:rFonts w:eastAsia="Times New Roman"/>
                <w:color w:val="000000"/>
                <w:lang w:val="en-GB" w:eastAsia="ja-JP"/>
              </w:rPr>
              <w:t>(Ok. 511.36 keV gamma line irrelevant to annihilation.)</w:t>
            </w:r>
          </w:p>
        </w:tc>
      </w:tr>
    </w:tbl>
    <w:p w14:paraId="200DD6A3" w14:textId="3968F5B1" w:rsidR="0007080C" w:rsidRPr="00D81592" w:rsidRDefault="0007080C" w:rsidP="000B4A9C">
      <w:pPr>
        <w:jc w:val="both"/>
        <w:rPr>
          <w:bCs/>
          <w:sz w:val="24"/>
          <w:szCs w:val="24"/>
          <w:lang w:val="en-GB" w:eastAsia="ja-JP"/>
        </w:rPr>
      </w:pPr>
    </w:p>
    <w:sectPr w:rsidR="0007080C" w:rsidRPr="00D81592" w:rsidSect="000B4A9C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5098" w14:textId="77777777" w:rsidR="00560669" w:rsidRDefault="00560669">
      <w:r>
        <w:separator/>
      </w:r>
    </w:p>
  </w:endnote>
  <w:endnote w:type="continuationSeparator" w:id="0">
    <w:p w14:paraId="58B49408" w14:textId="77777777" w:rsidR="00560669" w:rsidRDefault="0056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060A" w14:textId="77777777" w:rsidR="00560669" w:rsidRDefault="00560669">
      <w:r>
        <w:separator/>
      </w:r>
    </w:p>
  </w:footnote>
  <w:footnote w:type="continuationSeparator" w:id="0">
    <w:p w14:paraId="0AD7E296" w14:textId="77777777" w:rsidR="00560669" w:rsidRDefault="0056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69C0AC4"/>
    <w:multiLevelType w:val="hybridMultilevel"/>
    <w:tmpl w:val="8334C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7A84"/>
    <w:multiLevelType w:val="hybridMultilevel"/>
    <w:tmpl w:val="C9682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97C"/>
    <w:multiLevelType w:val="hybridMultilevel"/>
    <w:tmpl w:val="2212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5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0633E"/>
    <w:multiLevelType w:val="hybridMultilevel"/>
    <w:tmpl w:val="2BF48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15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6"/>
  </w:num>
  <w:num w:numId="13">
    <w:abstractNumId w:val="6"/>
  </w:num>
  <w:num w:numId="14">
    <w:abstractNumId w:val="9"/>
  </w:num>
  <w:num w:numId="15">
    <w:abstractNumId w:val="17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24A"/>
    <w:rsid w:val="000034CA"/>
    <w:rsid w:val="0000377C"/>
    <w:rsid w:val="000044FA"/>
    <w:rsid w:val="00004675"/>
    <w:rsid w:val="00004844"/>
    <w:rsid w:val="00005D89"/>
    <w:rsid w:val="0000776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1AD"/>
    <w:rsid w:val="000309C8"/>
    <w:rsid w:val="00031539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FB6"/>
    <w:rsid w:val="0004397E"/>
    <w:rsid w:val="000447B9"/>
    <w:rsid w:val="00047D48"/>
    <w:rsid w:val="0005074C"/>
    <w:rsid w:val="000508C9"/>
    <w:rsid w:val="00053031"/>
    <w:rsid w:val="00053BDE"/>
    <w:rsid w:val="00054281"/>
    <w:rsid w:val="0005483B"/>
    <w:rsid w:val="00055382"/>
    <w:rsid w:val="00055AFE"/>
    <w:rsid w:val="00055F9F"/>
    <w:rsid w:val="00057D0D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080C"/>
    <w:rsid w:val="00071474"/>
    <w:rsid w:val="000728B8"/>
    <w:rsid w:val="00073987"/>
    <w:rsid w:val="0007479E"/>
    <w:rsid w:val="00077313"/>
    <w:rsid w:val="000777EA"/>
    <w:rsid w:val="00077DB6"/>
    <w:rsid w:val="000801E9"/>
    <w:rsid w:val="00080FA0"/>
    <w:rsid w:val="00081EBD"/>
    <w:rsid w:val="000827DC"/>
    <w:rsid w:val="000844A2"/>
    <w:rsid w:val="00086C9A"/>
    <w:rsid w:val="00086E19"/>
    <w:rsid w:val="00087191"/>
    <w:rsid w:val="00087891"/>
    <w:rsid w:val="00090241"/>
    <w:rsid w:val="00091BAA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4A9C"/>
    <w:rsid w:val="000B4F5D"/>
    <w:rsid w:val="000B61F5"/>
    <w:rsid w:val="000B7894"/>
    <w:rsid w:val="000C0047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F02F6"/>
    <w:rsid w:val="000F08E3"/>
    <w:rsid w:val="000F0AE5"/>
    <w:rsid w:val="000F0DE6"/>
    <w:rsid w:val="000F3367"/>
    <w:rsid w:val="000F34AC"/>
    <w:rsid w:val="000F3DD0"/>
    <w:rsid w:val="000F4532"/>
    <w:rsid w:val="000F46D6"/>
    <w:rsid w:val="000F6A18"/>
    <w:rsid w:val="000F6B11"/>
    <w:rsid w:val="000F6B2B"/>
    <w:rsid w:val="0010026A"/>
    <w:rsid w:val="00100644"/>
    <w:rsid w:val="00100700"/>
    <w:rsid w:val="00100C0E"/>
    <w:rsid w:val="0010148B"/>
    <w:rsid w:val="001029B4"/>
    <w:rsid w:val="00103A50"/>
    <w:rsid w:val="00104FD0"/>
    <w:rsid w:val="00106812"/>
    <w:rsid w:val="00107628"/>
    <w:rsid w:val="00110EFF"/>
    <w:rsid w:val="001118B1"/>
    <w:rsid w:val="00111C3A"/>
    <w:rsid w:val="00113CCA"/>
    <w:rsid w:val="00114B98"/>
    <w:rsid w:val="0011504C"/>
    <w:rsid w:val="001161A8"/>
    <w:rsid w:val="00117BDC"/>
    <w:rsid w:val="00117CEA"/>
    <w:rsid w:val="00120512"/>
    <w:rsid w:val="001205D5"/>
    <w:rsid w:val="001205F1"/>
    <w:rsid w:val="00120FF0"/>
    <w:rsid w:val="0012165E"/>
    <w:rsid w:val="001230ED"/>
    <w:rsid w:val="001231A6"/>
    <w:rsid w:val="00123CEE"/>
    <w:rsid w:val="001245CA"/>
    <w:rsid w:val="0013097B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5E03"/>
    <w:rsid w:val="00147DD3"/>
    <w:rsid w:val="001503B5"/>
    <w:rsid w:val="00154D11"/>
    <w:rsid w:val="001569AC"/>
    <w:rsid w:val="001571C3"/>
    <w:rsid w:val="001579F3"/>
    <w:rsid w:val="00157EFD"/>
    <w:rsid w:val="00161433"/>
    <w:rsid w:val="0016201F"/>
    <w:rsid w:val="00162391"/>
    <w:rsid w:val="00165FDF"/>
    <w:rsid w:val="00166095"/>
    <w:rsid w:val="00167214"/>
    <w:rsid w:val="001679DB"/>
    <w:rsid w:val="0017013E"/>
    <w:rsid w:val="00170C0B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A9"/>
    <w:rsid w:val="001B4A69"/>
    <w:rsid w:val="001B6CB9"/>
    <w:rsid w:val="001B771B"/>
    <w:rsid w:val="001B7916"/>
    <w:rsid w:val="001B7E25"/>
    <w:rsid w:val="001C01A4"/>
    <w:rsid w:val="001C048A"/>
    <w:rsid w:val="001C0815"/>
    <w:rsid w:val="001C1334"/>
    <w:rsid w:val="001C3AA2"/>
    <w:rsid w:val="001C503E"/>
    <w:rsid w:val="001C592B"/>
    <w:rsid w:val="001C78F1"/>
    <w:rsid w:val="001C79F5"/>
    <w:rsid w:val="001C7DE9"/>
    <w:rsid w:val="001D0CE1"/>
    <w:rsid w:val="001D1809"/>
    <w:rsid w:val="001D2727"/>
    <w:rsid w:val="001D28E9"/>
    <w:rsid w:val="001D29D9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E37"/>
    <w:rsid w:val="001F31AE"/>
    <w:rsid w:val="001F3403"/>
    <w:rsid w:val="001F37EF"/>
    <w:rsid w:val="001F3DDF"/>
    <w:rsid w:val="001F3E54"/>
    <w:rsid w:val="001F49C7"/>
    <w:rsid w:val="001F5159"/>
    <w:rsid w:val="001F526D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DD2"/>
    <w:rsid w:val="00214278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601E"/>
    <w:rsid w:val="002265F5"/>
    <w:rsid w:val="002271E4"/>
    <w:rsid w:val="00232C7C"/>
    <w:rsid w:val="00233227"/>
    <w:rsid w:val="0023376B"/>
    <w:rsid w:val="0023416F"/>
    <w:rsid w:val="00235108"/>
    <w:rsid w:val="002369E9"/>
    <w:rsid w:val="00236BF1"/>
    <w:rsid w:val="00236D9E"/>
    <w:rsid w:val="00237DC9"/>
    <w:rsid w:val="00237F58"/>
    <w:rsid w:val="002421DB"/>
    <w:rsid w:val="00242474"/>
    <w:rsid w:val="00242DB4"/>
    <w:rsid w:val="00244AEC"/>
    <w:rsid w:val="00244C6C"/>
    <w:rsid w:val="00250FCA"/>
    <w:rsid w:val="0025397D"/>
    <w:rsid w:val="00253D67"/>
    <w:rsid w:val="0025421E"/>
    <w:rsid w:val="00254912"/>
    <w:rsid w:val="00255379"/>
    <w:rsid w:val="0025538A"/>
    <w:rsid w:val="00260110"/>
    <w:rsid w:val="002601C7"/>
    <w:rsid w:val="00261122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5C98"/>
    <w:rsid w:val="002A6856"/>
    <w:rsid w:val="002A6C41"/>
    <w:rsid w:val="002B085C"/>
    <w:rsid w:val="002B0A42"/>
    <w:rsid w:val="002B122C"/>
    <w:rsid w:val="002B1BE3"/>
    <w:rsid w:val="002B282E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B69"/>
    <w:rsid w:val="002E3ADB"/>
    <w:rsid w:val="002E49D7"/>
    <w:rsid w:val="002E7EC6"/>
    <w:rsid w:val="002E7F4C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69F"/>
    <w:rsid w:val="00305D6B"/>
    <w:rsid w:val="00307CAE"/>
    <w:rsid w:val="00310670"/>
    <w:rsid w:val="0031071B"/>
    <w:rsid w:val="003112B6"/>
    <w:rsid w:val="00315F5C"/>
    <w:rsid w:val="00316527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6664"/>
    <w:rsid w:val="00337C55"/>
    <w:rsid w:val="003402E4"/>
    <w:rsid w:val="0034114B"/>
    <w:rsid w:val="00342EAE"/>
    <w:rsid w:val="00345359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33B3"/>
    <w:rsid w:val="003A48F8"/>
    <w:rsid w:val="003A567A"/>
    <w:rsid w:val="003A56AA"/>
    <w:rsid w:val="003A63F3"/>
    <w:rsid w:val="003A6F8C"/>
    <w:rsid w:val="003A729E"/>
    <w:rsid w:val="003B0C2A"/>
    <w:rsid w:val="003B0E5D"/>
    <w:rsid w:val="003B10AF"/>
    <w:rsid w:val="003B1125"/>
    <w:rsid w:val="003B1CFF"/>
    <w:rsid w:val="003B2C6F"/>
    <w:rsid w:val="003B339E"/>
    <w:rsid w:val="003B44EC"/>
    <w:rsid w:val="003B4A1F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072C"/>
    <w:rsid w:val="003E1390"/>
    <w:rsid w:val="003E1BD5"/>
    <w:rsid w:val="003E2E35"/>
    <w:rsid w:val="003E3040"/>
    <w:rsid w:val="003E5D4B"/>
    <w:rsid w:val="003E60BD"/>
    <w:rsid w:val="003F2C43"/>
    <w:rsid w:val="003F2E75"/>
    <w:rsid w:val="003F3E80"/>
    <w:rsid w:val="003F50ED"/>
    <w:rsid w:val="003F59F1"/>
    <w:rsid w:val="003F5CE0"/>
    <w:rsid w:val="003F648E"/>
    <w:rsid w:val="003F7185"/>
    <w:rsid w:val="00401667"/>
    <w:rsid w:val="004016C8"/>
    <w:rsid w:val="0040283C"/>
    <w:rsid w:val="00402C4E"/>
    <w:rsid w:val="0040448D"/>
    <w:rsid w:val="004046C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B81"/>
    <w:rsid w:val="00421FB6"/>
    <w:rsid w:val="00422C1C"/>
    <w:rsid w:val="00422DAC"/>
    <w:rsid w:val="0042370B"/>
    <w:rsid w:val="00426A79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1A43"/>
    <w:rsid w:val="00462498"/>
    <w:rsid w:val="00462FF0"/>
    <w:rsid w:val="004650B3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9142D"/>
    <w:rsid w:val="0049149D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A71"/>
    <w:rsid w:val="004D0E42"/>
    <w:rsid w:val="004D0EA2"/>
    <w:rsid w:val="004D1068"/>
    <w:rsid w:val="004D200F"/>
    <w:rsid w:val="004D2749"/>
    <w:rsid w:val="004D36B2"/>
    <w:rsid w:val="004D413F"/>
    <w:rsid w:val="004D567A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10566"/>
    <w:rsid w:val="005105B5"/>
    <w:rsid w:val="005108EC"/>
    <w:rsid w:val="00510D73"/>
    <w:rsid w:val="00511B8D"/>
    <w:rsid w:val="005129BA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0669"/>
    <w:rsid w:val="005610FA"/>
    <w:rsid w:val="00561124"/>
    <w:rsid w:val="005623D6"/>
    <w:rsid w:val="0056261D"/>
    <w:rsid w:val="00562B27"/>
    <w:rsid w:val="00564988"/>
    <w:rsid w:val="005664CE"/>
    <w:rsid w:val="005665FD"/>
    <w:rsid w:val="00566C7A"/>
    <w:rsid w:val="005700AF"/>
    <w:rsid w:val="0057110F"/>
    <w:rsid w:val="00571BF5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6340"/>
    <w:rsid w:val="00596921"/>
    <w:rsid w:val="00597053"/>
    <w:rsid w:val="005A2A01"/>
    <w:rsid w:val="005A2AAD"/>
    <w:rsid w:val="005A3C18"/>
    <w:rsid w:val="005A4C0D"/>
    <w:rsid w:val="005A5A66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B7FBA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5E45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5F79B7"/>
    <w:rsid w:val="00600D8A"/>
    <w:rsid w:val="00601684"/>
    <w:rsid w:val="00601D99"/>
    <w:rsid w:val="006021AB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E16"/>
    <w:rsid w:val="00632974"/>
    <w:rsid w:val="00632B14"/>
    <w:rsid w:val="00633DB1"/>
    <w:rsid w:val="00635FE1"/>
    <w:rsid w:val="0063610F"/>
    <w:rsid w:val="00636995"/>
    <w:rsid w:val="00636AED"/>
    <w:rsid w:val="006375C1"/>
    <w:rsid w:val="0064048E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516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6212"/>
    <w:rsid w:val="006B78D0"/>
    <w:rsid w:val="006C44E6"/>
    <w:rsid w:val="006C670E"/>
    <w:rsid w:val="006C78AF"/>
    <w:rsid w:val="006C7A7F"/>
    <w:rsid w:val="006C7E95"/>
    <w:rsid w:val="006D13C0"/>
    <w:rsid w:val="006D1536"/>
    <w:rsid w:val="006D3361"/>
    <w:rsid w:val="006D36F4"/>
    <w:rsid w:val="006D3F88"/>
    <w:rsid w:val="006D57E1"/>
    <w:rsid w:val="006D5C5F"/>
    <w:rsid w:val="006D6951"/>
    <w:rsid w:val="006D6CF0"/>
    <w:rsid w:val="006D79DE"/>
    <w:rsid w:val="006E1160"/>
    <w:rsid w:val="006E18A4"/>
    <w:rsid w:val="006E2250"/>
    <w:rsid w:val="006E2F64"/>
    <w:rsid w:val="006E4CAF"/>
    <w:rsid w:val="006E7646"/>
    <w:rsid w:val="006F02C7"/>
    <w:rsid w:val="006F17BA"/>
    <w:rsid w:val="006F1F7C"/>
    <w:rsid w:val="006F3549"/>
    <w:rsid w:val="006F361C"/>
    <w:rsid w:val="006F38B8"/>
    <w:rsid w:val="006F4308"/>
    <w:rsid w:val="006F444B"/>
    <w:rsid w:val="006F6F3C"/>
    <w:rsid w:val="006F7FF0"/>
    <w:rsid w:val="00700B7B"/>
    <w:rsid w:val="00700F94"/>
    <w:rsid w:val="00702EF3"/>
    <w:rsid w:val="00702FC5"/>
    <w:rsid w:val="0070339D"/>
    <w:rsid w:val="00705F58"/>
    <w:rsid w:val="00707722"/>
    <w:rsid w:val="00707779"/>
    <w:rsid w:val="007079FE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04C8"/>
    <w:rsid w:val="007523B3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3134"/>
    <w:rsid w:val="00763276"/>
    <w:rsid w:val="00763466"/>
    <w:rsid w:val="00765509"/>
    <w:rsid w:val="00766033"/>
    <w:rsid w:val="007666BE"/>
    <w:rsid w:val="00766733"/>
    <w:rsid w:val="00766D90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C78"/>
    <w:rsid w:val="007A01FA"/>
    <w:rsid w:val="007A14E1"/>
    <w:rsid w:val="007A2788"/>
    <w:rsid w:val="007A3CA0"/>
    <w:rsid w:val="007A43F6"/>
    <w:rsid w:val="007A601A"/>
    <w:rsid w:val="007A66B5"/>
    <w:rsid w:val="007A7352"/>
    <w:rsid w:val="007A7B55"/>
    <w:rsid w:val="007B1A51"/>
    <w:rsid w:val="007B20D5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3EF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5ED5"/>
    <w:rsid w:val="00827254"/>
    <w:rsid w:val="00827646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6707"/>
    <w:rsid w:val="00857245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DD7"/>
    <w:rsid w:val="0087357E"/>
    <w:rsid w:val="00875A4A"/>
    <w:rsid w:val="00881145"/>
    <w:rsid w:val="00881FFD"/>
    <w:rsid w:val="00882B7B"/>
    <w:rsid w:val="0088309D"/>
    <w:rsid w:val="00883B8D"/>
    <w:rsid w:val="008842A5"/>
    <w:rsid w:val="00884871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2C8D"/>
    <w:rsid w:val="008C2E49"/>
    <w:rsid w:val="008C51CE"/>
    <w:rsid w:val="008C5506"/>
    <w:rsid w:val="008C55DB"/>
    <w:rsid w:val="008C6007"/>
    <w:rsid w:val="008C68C3"/>
    <w:rsid w:val="008C7EFC"/>
    <w:rsid w:val="008D0193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434A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3466"/>
    <w:rsid w:val="008F5096"/>
    <w:rsid w:val="008F6CB2"/>
    <w:rsid w:val="008F6FDA"/>
    <w:rsid w:val="009003A2"/>
    <w:rsid w:val="00901004"/>
    <w:rsid w:val="00904228"/>
    <w:rsid w:val="00905009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1006"/>
    <w:rsid w:val="0092285A"/>
    <w:rsid w:val="00923830"/>
    <w:rsid w:val="00923852"/>
    <w:rsid w:val="00923B6C"/>
    <w:rsid w:val="0092572B"/>
    <w:rsid w:val="00926F2E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A90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CF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2D42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95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E7D"/>
    <w:rsid w:val="00A10BA6"/>
    <w:rsid w:val="00A14408"/>
    <w:rsid w:val="00A14D21"/>
    <w:rsid w:val="00A232F2"/>
    <w:rsid w:val="00A23AAD"/>
    <w:rsid w:val="00A24F67"/>
    <w:rsid w:val="00A26F9C"/>
    <w:rsid w:val="00A3059F"/>
    <w:rsid w:val="00A30E9E"/>
    <w:rsid w:val="00A31496"/>
    <w:rsid w:val="00A31DCF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325C"/>
    <w:rsid w:val="00A538EE"/>
    <w:rsid w:val="00A53E36"/>
    <w:rsid w:val="00A5572A"/>
    <w:rsid w:val="00A55765"/>
    <w:rsid w:val="00A55DC9"/>
    <w:rsid w:val="00A5774C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34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21B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C1353"/>
    <w:rsid w:val="00AC2A88"/>
    <w:rsid w:val="00AC3BD9"/>
    <w:rsid w:val="00AC4D80"/>
    <w:rsid w:val="00AC562E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D74B8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0B05"/>
    <w:rsid w:val="00B3140F"/>
    <w:rsid w:val="00B31CE4"/>
    <w:rsid w:val="00B321B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85C15"/>
    <w:rsid w:val="00B903B2"/>
    <w:rsid w:val="00B90446"/>
    <w:rsid w:val="00B90B38"/>
    <w:rsid w:val="00B92323"/>
    <w:rsid w:val="00B92B54"/>
    <w:rsid w:val="00B93C0D"/>
    <w:rsid w:val="00B94022"/>
    <w:rsid w:val="00B95539"/>
    <w:rsid w:val="00B965FC"/>
    <w:rsid w:val="00B96C27"/>
    <w:rsid w:val="00B96D31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9A5"/>
    <w:rsid w:val="00BB11DC"/>
    <w:rsid w:val="00BB1C99"/>
    <w:rsid w:val="00BB4069"/>
    <w:rsid w:val="00BB42A8"/>
    <w:rsid w:val="00BB5CE8"/>
    <w:rsid w:val="00BB60BC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7DBE"/>
    <w:rsid w:val="00BD1527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5C9"/>
    <w:rsid w:val="00BE191A"/>
    <w:rsid w:val="00BE28EB"/>
    <w:rsid w:val="00BE2A70"/>
    <w:rsid w:val="00BE3002"/>
    <w:rsid w:val="00BE532F"/>
    <w:rsid w:val="00BE5710"/>
    <w:rsid w:val="00BE662F"/>
    <w:rsid w:val="00BE6DF9"/>
    <w:rsid w:val="00BF1811"/>
    <w:rsid w:val="00BF2ACB"/>
    <w:rsid w:val="00BF4C85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73"/>
    <w:rsid w:val="00C118AC"/>
    <w:rsid w:val="00C11B93"/>
    <w:rsid w:val="00C1254F"/>
    <w:rsid w:val="00C13592"/>
    <w:rsid w:val="00C14849"/>
    <w:rsid w:val="00C15C60"/>
    <w:rsid w:val="00C16DF7"/>
    <w:rsid w:val="00C16E80"/>
    <w:rsid w:val="00C1758D"/>
    <w:rsid w:val="00C1799D"/>
    <w:rsid w:val="00C17F17"/>
    <w:rsid w:val="00C20B6C"/>
    <w:rsid w:val="00C20BEA"/>
    <w:rsid w:val="00C21910"/>
    <w:rsid w:val="00C2253D"/>
    <w:rsid w:val="00C225AD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01"/>
    <w:rsid w:val="00C4557D"/>
    <w:rsid w:val="00C47665"/>
    <w:rsid w:val="00C47729"/>
    <w:rsid w:val="00C47922"/>
    <w:rsid w:val="00C50738"/>
    <w:rsid w:val="00C516F1"/>
    <w:rsid w:val="00C52340"/>
    <w:rsid w:val="00C52F94"/>
    <w:rsid w:val="00C5334E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1123"/>
    <w:rsid w:val="00C63DC5"/>
    <w:rsid w:val="00C6407D"/>
    <w:rsid w:val="00C660EB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308"/>
    <w:rsid w:val="00C950C3"/>
    <w:rsid w:val="00C95238"/>
    <w:rsid w:val="00C95EC4"/>
    <w:rsid w:val="00C96CF9"/>
    <w:rsid w:val="00C97F1B"/>
    <w:rsid w:val="00CA0D43"/>
    <w:rsid w:val="00CA15E6"/>
    <w:rsid w:val="00CA17C8"/>
    <w:rsid w:val="00CA19A1"/>
    <w:rsid w:val="00CA1EAA"/>
    <w:rsid w:val="00CA2CED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F0454"/>
    <w:rsid w:val="00CF08FA"/>
    <w:rsid w:val="00CF0FFE"/>
    <w:rsid w:val="00CF1312"/>
    <w:rsid w:val="00CF2D3B"/>
    <w:rsid w:val="00CF2D94"/>
    <w:rsid w:val="00CF5ED5"/>
    <w:rsid w:val="00CF64E9"/>
    <w:rsid w:val="00CF7DDA"/>
    <w:rsid w:val="00D012D8"/>
    <w:rsid w:val="00D016C5"/>
    <w:rsid w:val="00D03479"/>
    <w:rsid w:val="00D03975"/>
    <w:rsid w:val="00D04F9B"/>
    <w:rsid w:val="00D05542"/>
    <w:rsid w:val="00D06A3B"/>
    <w:rsid w:val="00D1032B"/>
    <w:rsid w:val="00D130FE"/>
    <w:rsid w:val="00D1318C"/>
    <w:rsid w:val="00D13E2F"/>
    <w:rsid w:val="00D15F12"/>
    <w:rsid w:val="00D15FB2"/>
    <w:rsid w:val="00D16D86"/>
    <w:rsid w:val="00D206F8"/>
    <w:rsid w:val="00D20A2F"/>
    <w:rsid w:val="00D22241"/>
    <w:rsid w:val="00D22D86"/>
    <w:rsid w:val="00D23609"/>
    <w:rsid w:val="00D2605B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2E27"/>
    <w:rsid w:val="00D43B50"/>
    <w:rsid w:val="00D44064"/>
    <w:rsid w:val="00D44A40"/>
    <w:rsid w:val="00D46931"/>
    <w:rsid w:val="00D4753B"/>
    <w:rsid w:val="00D5253D"/>
    <w:rsid w:val="00D528C2"/>
    <w:rsid w:val="00D53069"/>
    <w:rsid w:val="00D54ECA"/>
    <w:rsid w:val="00D54FB3"/>
    <w:rsid w:val="00D5538E"/>
    <w:rsid w:val="00D564AB"/>
    <w:rsid w:val="00D570E4"/>
    <w:rsid w:val="00D570EF"/>
    <w:rsid w:val="00D576BF"/>
    <w:rsid w:val="00D60E2A"/>
    <w:rsid w:val="00D63366"/>
    <w:rsid w:val="00D64400"/>
    <w:rsid w:val="00D64560"/>
    <w:rsid w:val="00D64ADF"/>
    <w:rsid w:val="00D65090"/>
    <w:rsid w:val="00D65C2B"/>
    <w:rsid w:val="00D669D3"/>
    <w:rsid w:val="00D70FC0"/>
    <w:rsid w:val="00D716BC"/>
    <w:rsid w:val="00D72460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90AB4"/>
    <w:rsid w:val="00D90BB1"/>
    <w:rsid w:val="00D91D3B"/>
    <w:rsid w:val="00D931D6"/>
    <w:rsid w:val="00D93A76"/>
    <w:rsid w:val="00D959D3"/>
    <w:rsid w:val="00D969A2"/>
    <w:rsid w:val="00D97FA8"/>
    <w:rsid w:val="00DA0E34"/>
    <w:rsid w:val="00DA1559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DCA"/>
    <w:rsid w:val="00DC257D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E1628"/>
    <w:rsid w:val="00DE24DE"/>
    <w:rsid w:val="00DE2A30"/>
    <w:rsid w:val="00DE48F3"/>
    <w:rsid w:val="00DE5BA0"/>
    <w:rsid w:val="00DF19D5"/>
    <w:rsid w:val="00DF209D"/>
    <w:rsid w:val="00DF31F3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1CFD"/>
    <w:rsid w:val="00E6272C"/>
    <w:rsid w:val="00E646D3"/>
    <w:rsid w:val="00E64A39"/>
    <w:rsid w:val="00E65D18"/>
    <w:rsid w:val="00E66ED7"/>
    <w:rsid w:val="00E67627"/>
    <w:rsid w:val="00E740B6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A6D"/>
    <w:rsid w:val="00E9103C"/>
    <w:rsid w:val="00E91929"/>
    <w:rsid w:val="00E93B70"/>
    <w:rsid w:val="00E940C2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C72BC"/>
    <w:rsid w:val="00ED0174"/>
    <w:rsid w:val="00ED14A0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E6A"/>
    <w:rsid w:val="00EE31A4"/>
    <w:rsid w:val="00EE458F"/>
    <w:rsid w:val="00EE54E1"/>
    <w:rsid w:val="00EE5D8C"/>
    <w:rsid w:val="00EF143B"/>
    <w:rsid w:val="00EF1450"/>
    <w:rsid w:val="00EF1845"/>
    <w:rsid w:val="00EF1FE0"/>
    <w:rsid w:val="00EF2EA3"/>
    <w:rsid w:val="00EF4838"/>
    <w:rsid w:val="00EF5998"/>
    <w:rsid w:val="00EF6A7C"/>
    <w:rsid w:val="00EF6C5C"/>
    <w:rsid w:val="00EF70C8"/>
    <w:rsid w:val="00EF71F6"/>
    <w:rsid w:val="00F0060C"/>
    <w:rsid w:val="00F00969"/>
    <w:rsid w:val="00F01B17"/>
    <w:rsid w:val="00F029C3"/>
    <w:rsid w:val="00F03A33"/>
    <w:rsid w:val="00F04AD3"/>
    <w:rsid w:val="00F058FE"/>
    <w:rsid w:val="00F05F28"/>
    <w:rsid w:val="00F06137"/>
    <w:rsid w:val="00F071B7"/>
    <w:rsid w:val="00F07C80"/>
    <w:rsid w:val="00F104A2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9FF"/>
    <w:rsid w:val="00F521FF"/>
    <w:rsid w:val="00F5238D"/>
    <w:rsid w:val="00F5353C"/>
    <w:rsid w:val="00F545DF"/>
    <w:rsid w:val="00F545FE"/>
    <w:rsid w:val="00F56269"/>
    <w:rsid w:val="00F569D5"/>
    <w:rsid w:val="00F57111"/>
    <w:rsid w:val="00F57639"/>
    <w:rsid w:val="00F57913"/>
    <w:rsid w:val="00F61575"/>
    <w:rsid w:val="00F62EAB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35B5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6E"/>
    <w:rsid w:val="00FB2239"/>
    <w:rsid w:val="00FB27DC"/>
    <w:rsid w:val="00FB2DD7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B6F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4B9E"/>
    <w:rsid w:val="00FE4DBB"/>
    <w:rsid w:val="00FE70D3"/>
    <w:rsid w:val="00FE79AA"/>
    <w:rsid w:val="00FF01AC"/>
    <w:rsid w:val="00FF0C91"/>
    <w:rsid w:val="00FF0FA2"/>
    <w:rsid w:val="00FF1847"/>
    <w:rsid w:val="00FF2277"/>
    <w:rsid w:val="00FF2983"/>
    <w:rsid w:val="00FF3AA9"/>
    <w:rsid w:val="00FF5B6E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3">
    <w:name w:val="xl73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5">
    <w:name w:val="xl75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6">
    <w:name w:val="xl76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7">
    <w:name w:val="xl77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8">
    <w:name w:val="xl78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9">
    <w:name w:val="xl79"/>
    <w:basedOn w:val="Normal"/>
    <w:rsid w:val="000708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901C-9BCE-43C4-AFB9-77B2C650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2541</Words>
  <Characters>14486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16994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45</cp:revision>
  <cp:lastPrinted>2013-11-13T17:33:00Z</cp:lastPrinted>
  <dcterms:created xsi:type="dcterms:W3CDTF">2020-11-04T08:10:00Z</dcterms:created>
  <dcterms:modified xsi:type="dcterms:W3CDTF">2020-12-07T19:10:00Z</dcterms:modified>
</cp:coreProperties>
</file>