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205" w:rsidRDefault="005A2ACC" w:rsidP="008A0BF5">
      <w:pPr>
        <w:pStyle w:val="Title"/>
      </w:pPr>
      <w:bookmarkStart w:id="0" w:name="_GoBack"/>
      <w:bookmarkEnd w:id="0"/>
      <w:r>
        <w:t xml:space="preserve">Benchmarking of </w:t>
      </w:r>
      <w:r w:rsidRPr="00833E87">
        <w:rPr>
          <w:vertAlign w:val="superscript"/>
        </w:rPr>
        <w:t>235</w:t>
      </w:r>
      <w:r>
        <w:t>U Fission Spectra</w:t>
      </w:r>
    </w:p>
    <w:p w:rsidR="005A2ACC" w:rsidRPr="007D2AAF" w:rsidRDefault="005A2ACC" w:rsidP="005A2ACC">
      <w:pPr>
        <w:jc w:val="center"/>
        <w:rPr>
          <w:b/>
          <w:sz w:val="24"/>
        </w:rPr>
      </w:pPr>
      <w:r w:rsidRPr="007D2AAF">
        <w:rPr>
          <w:b/>
          <w:sz w:val="24"/>
        </w:rPr>
        <w:t xml:space="preserve">A. </w:t>
      </w:r>
      <w:proofErr w:type="spellStart"/>
      <w:r w:rsidRPr="007D2AAF">
        <w:rPr>
          <w:b/>
          <w:sz w:val="24"/>
        </w:rPr>
        <w:t>Trkov</w:t>
      </w:r>
      <w:proofErr w:type="spellEnd"/>
      <w:r w:rsidR="00034108">
        <w:rPr>
          <w:b/>
          <w:sz w:val="24"/>
        </w:rPr>
        <w:t xml:space="preserve"> and</w:t>
      </w:r>
      <w:r w:rsidRPr="007D2AAF">
        <w:rPr>
          <w:b/>
          <w:sz w:val="24"/>
        </w:rPr>
        <w:t xml:space="preserve"> R. Capote</w:t>
      </w:r>
    </w:p>
    <w:p w:rsidR="005A2ACC" w:rsidRPr="007D2AAF" w:rsidRDefault="00034108" w:rsidP="005A2ACC">
      <w:pPr>
        <w:jc w:val="center"/>
        <w:rPr>
          <w:sz w:val="24"/>
        </w:rPr>
      </w:pPr>
      <w:r>
        <w:rPr>
          <w:sz w:val="24"/>
        </w:rPr>
        <w:t xml:space="preserve">NAPC-Nuclear Data Section, </w:t>
      </w:r>
      <w:r w:rsidR="005A2ACC" w:rsidRPr="007D2AAF">
        <w:rPr>
          <w:sz w:val="24"/>
        </w:rPr>
        <w:t>International Atomic Energy Agency, Vienna, Austria</w:t>
      </w:r>
    </w:p>
    <w:p w:rsidR="005A2ACC" w:rsidRDefault="005A2ACC" w:rsidP="005A2ACC">
      <w:pPr>
        <w:jc w:val="center"/>
      </w:pPr>
      <w:r>
        <w:t>April 2014</w:t>
      </w:r>
    </w:p>
    <w:p w:rsidR="005A2ACC" w:rsidRDefault="005A2ACC" w:rsidP="007D2AAF">
      <w:pPr>
        <w:pStyle w:val="Heading1"/>
      </w:pPr>
      <w:r>
        <w:t>Background</w:t>
      </w:r>
    </w:p>
    <w:p w:rsidR="00243D93" w:rsidRDefault="005A2ACC" w:rsidP="005A2ACC">
      <w:pPr>
        <w:jc w:val="both"/>
      </w:pPr>
      <w:r>
        <w:t xml:space="preserve">Within the scope of the IAEA CRP on fission spectra, several evaluations of the </w:t>
      </w:r>
      <w:r w:rsidRPr="00833E87">
        <w:rPr>
          <w:vertAlign w:val="superscript"/>
        </w:rPr>
        <w:t>235</w:t>
      </w:r>
      <w:r>
        <w:t xml:space="preserve">U fission spectra were produced. In the present work the impact of these evaluations on thermal criticality benchmarks is investigated. The ENDF/B-VII.1 data are taken as reference. Only the prompt fission spectra of </w:t>
      </w:r>
      <w:r w:rsidRPr="00833E87">
        <w:rPr>
          <w:vertAlign w:val="superscript"/>
        </w:rPr>
        <w:t>235</w:t>
      </w:r>
      <w:r>
        <w:t>U in the library were changed</w:t>
      </w:r>
      <w:r w:rsidR="00034108">
        <w:t>, unless indicated otherwise</w:t>
      </w:r>
      <w:r>
        <w:t xml:space="preserve">. </w:t>
      </w:r>
    </w:p>
    <w:p w:rsidR="00243D93" w:rsidRDefault="00243D93" w:rsidP="007D2AAF">
      <w:pPr>
        <w:pStyle w:val="Heading1"/>
      </w:pPr>
      <w:r>
        <w:t>Scope</w:t>
      </w:r>
    </w:p>
    <w:p w:rsidR="005A2ACC" w:rsidRDefault="005A2ACC" w:rsidP="005A2ACC">
      <w:pPr>
        <w:jc w:val="both"/>
      </w:pPr>
      <w:r>
        <w:t xml:space="preserve">Evaluations by the authors </w:t>
      </w:r>
      <w:r w:rsidR="00243D93">
        <w:t>listed below were considered. The average neutron energies calculated from the spectra are also given.</w:t>
      </w:r>
    </w:p>
    <w:p w:rsidR="00186234" w:rsidRDefault="00186234" w:rsidP="005A2ACC">
      <w:pPr>
        <w:pStyle w:val="ListParagraph"/>
        <w:numPr>
          <w:ilvl w:val="0"/>
          <w:numId w:val="2"/>
        </w:numPr>
        <w:jc w:val="both"/>
      </w:pPr>
      <w:r>
        <w:t xml:space="preserve">ENDF/B-VII.1 </w:t>
      </w:r>
      <w:r>
        <w:tab/>
        <w:t>(</w:t>
      </w:r>
      <w:proofErr w:type="spellStart"/>
      <w:r>
        <w:rPr>
          <w:i/>
        </w:rPr>
        <w:t>E</w:t>
      </w:r>
      <w:r>
        <w:rPr>
          <w:vertAlign w:val="subscript"/>
        </w:rPr>
        <w:t>av</w:t>
      </w:r>
      <w:proofErr w:type="spellEnd"/>
      <w:r>
        <w:t>=2.03 MeV)</w:t>
      </w:r>
    </w:p>
    <w:p w:rsidR="005A2ACC" w:rsidRDefault="005A2ACC" w:rsidP="005A2ACC">
      <w:pPr>
        <w:pStyle w:val="ListParagraph"/>
        <w:numPr>
          <w:ilvl w:val="0"/>
          <w:numId w:val="2"/>
        </w:numPr>
        <w:jc w:val="both"/>
      </w:pPr>
      <w:proofErr w:type="spellStart"/>
      <w:r>
        <w:t>Kornilov</w:t>
      </w:r>
      <w:proofErr w:type="spellEnd"/>
      <w:r w:rsidR="00186234">
        <w:t xml:space="preserve"> </w:t>
      </w:r>
      <w:r w:rsidR="00186234">
        <w:tab/>
      </w:r>
      <w:r w:rsidR="00243D93">
        <w:t>(</w:t>
      </w:r>
      <w:proofErr w:type="spellStart"/>
      <w:r w:rsidR="00243D93">
        <w:rPr>
          <w:i/>
        </w:rPr>
        <w:t>E</w:t>
      </w:r>
      <w:r w:rsidR="00243D93">
        <w:rPr>
          <w:vertAlign w:val="subscript"/>
        </w:rPr>
        <w:t>av</w:t>
      </w:r>
      <w:proofErr w:type="spellEnd"/>
      <w:r w:rsidR="00243D93">
        <w:t>=1.9</w:t>
      </w:r>
      <w:r w:rsidR="00226F82">
        <w:t>7</w:t>
      </w:r>
      <w:r w:rsidR="00243D93">
        <w:t xml:space="preserve"> MeV)</w:t>
      </w:r>
    </w:p>
    <w:p w:rsidR="005A2ACC" w:rsidRDefault="005A2ACC" w:rsidP="005A2ACC">
      <w:pPr>
        <w:pStyle w:val="ListParagraph"/>
        <w:numPr>
          <w:ilvl w:val="0"/>
          <w:numId w:val="2"/>
        </w:numPr>
        <w:jc w:val="both"/>
      </w:pPr>
      <w:r>
        <w:t>Maslov</w:t>
      </w:r>
      <w:r w:rsidR="00243D93">
        <w:t xml:space="preserve"> </w:t>
      </w:r>
      <w:r w:rsidR="00186234">
        <w:tab/>
      </w:r>
      <w:r w:rsidR="00186234">
        <w:tab/>
      </w:r>
      <w:r w:rsidR="00243D93">
        <w:t>(</w:t>
      </w:r>
      <w:proofErr w:type="spellStart"/>
      <w:r w:rsidR="00243D93">
        <w:rPr>
          <w:i/>
        </w:rPr>
        <w:t>E</w:t>
      </w:r>
      <w:r w:rsidR="00243D93">
        <w:rPr>
          <w:vertAlign w:val="subscript"/>
        </w:rPr>
        <w:t>av</w:t>
      </w:r>
      <w:proofErr w:type="spellEnd"/>
      <w:r w:rsidR="00243D93">
        <w:t>=1.96 MeV)</w:t>
      </w:r>
    </w:p>
    <w:p w:rsidR="005A2ACC" w:rsidRDefault="005A2ACC" w:rsidP="005A2ACC">
      <w:pPr>
        <w:pStyle w:val="ListParagraph"/>
        <w:numPr>
          <w:ilvl w:val="0"/>
          <w:numId w:val="2"/>
        </w:numPr>
        <w:jc w:val="both"/>
      </w:pPr>
      <w:proofErr w:type="spellStart"/>
      <w:r>
        <w:t>Morillon</w:t>
      </w:r>
      <w:proofErr w:type="spellEnd"/>
      <w:r w:rsidR="00243D93">
        <w:t xml:space="preserve"> </w:t>
      </w:r>
      <w:r w:rsidR="00186234">
        <w:tab/>
      </w:r>
      <w:r w:rsidR="00243D93">
        <w:t>(</w:t>
      </w:r>
      <w:proofErr w:type="spellStart"/>
      <w:r w:rsidR="00243D93">
        <w:rPr>
          <w:i/>
        </w:rPr>
        <w:t>E</w:t>
      </w:r>
      <w:r w:rsidR="00243D93">
        <w:rPr>
          <w:vertAlign w:val="subscript"/>
        </w:rPr>
        <w:t>av</w:t>
      </w:r>
      <w:proofErr w:type="spellEnd"/>
      <w:r w:rsidR="00243D93">
        <w:t>=1.97 MeV)</w:t>
      </w:r>
    </w:p>
    <w:p w:rsidR="005A2ACC" w:rsidRDefault="005A2ACC" w:rsidP="005A2ACC">
      <w:pPr>
        <w:pStyle w:val="ListParagraph"/>
        <w:numPr>
          <w:ilvl w:val="0"/>
          <w:numId w:val="2"/>
        </w:numPr>
        <w:jc w:val="both"/>
      </w:pPr>
      <w:r>
        <w:t>Pronyaev</w:t>
      </w:r>
      <w:r w:rsidR="00243D93">
        <w:t xml:space="preserve"> </w:t>
      </w:r>
      <w:r w:rsidR="00186234">
        <w:tab/>
      </w:r>
      <w:r w:rsidR="00243D93">
        <w:t>(</w:t>
      </w:r>
      <w:proofErr w:type="spellStart"/>
      <w:r w:rsidR="00243D93">
        <w:rPr>
          <w:i/>
        </w:rPr>
        <w:t>E</w:t>
      </w:r>
      <w:r w:rsidR="00243D93">
        <w:rPr>
          <w:vertAlign w:val="subscript"/>
        </w:rPr>
        <w:t>av</w:t>
      </w:r>
      <w:proofErr w:type="spellEnd"/>
      <w:r w:rsidR="00243D93">
        <w:t>=1.96 MeV)</w:t>
      </w:r>
    </w:p>
    <w:p w:rsidR="005A2ACC" w:rsidRDefault="005A2ACC" w:rsidP="005A2ACC">
      <w:pPr>
        <w:pStyle w:val="ListParagraph"/>
        <w:numPr>
          <w:ilvl w:val="0"/>
          <w:numId w:val="2"/>
        </w:numPr>
        <w:jc w:val="both"/>
      </w:pPr>
      <w:r>
        <w:t>Shu</w:t>
      </w:r>
      <w:r w:rsidR="00243D93">
        <w:t xml:space="preserve"> </w:t>
      </w:r>
      <w:r w:rsidR="00186234">
        <w:tab/>
      </w:r>
      <w:r w:rsidR="00186234">
        <w:tab/>
      </w:r>
      <w:r w:rsidR="00243D93">
        <w:t>(</w:t>
      </w:r>
      <w:proofErr w:type="spellStart"/>
      <w:r w:rsidR="00243D93">
        <w:rPr>
          <w:i/>
        </w:rPr>
        <w:t>E</w:t>
      </w:r>
      <w:r w:rsidR="00243D93">
        <w:rPr>
          <w:vertAlign w:val="subscript"/>
        </w:rPr>
        <w:t>av</w:t>
      </w:r>
      <w:proofErr w:type="spellEnd"/>
      <w:r w:rsidR="00243D93">
        <w:t>=2.08 MeV)</w:t>
      </w:r>
    </w:p>
    <w:p w:rsidR="005A2ACC" w:rsidRDefault="005A2ACC" w:rsidP="005A2ACC">
      <w:pPr>
        <w:pStyle w:val="ListParagraph"/>
        <w:numPr>
          <w:ilvl w:val="0"/>
          <w:numId w:val="2"/>
        </w:numPr>
        <w:jc w:val="both"/>
      </w:pPr>
      <w:r>
        <w:t>Talou</w:t>
      </w:r>
      <w:r w:rsidR="00243D93">
        <w:t xml:space="preserve"> </w:t>
      </w:r>
      <w:r w:rsidR="00186234">
        <w:tab/>
      </w:r>
      <w:r w:rsidR="00186234">
        <w:tab/>
      </w:r>
      <w:r w:rsidR="00243D93">
        <w:t>(</w:t>
      </w:r>
      <w:proofErr w:type="spellStart"/>
      <w:r w:rsidR="00243D93">
        <w:rPr>
          <w:i/>
        </w:rPr>
        <w:t>E</w:t>
      </w:r>
      <w:r w:rsidR="00243D93">
        <w:rPr>
          <w:vertAlign w:val="subscript"/>
        </w:rPr>
        <w:t>av</w:t>
      </w:r>
      <w:proofErr w:type="spellEnd"/>
      <w:r w:rsidR="00243D93">
        <w:t>=2.00 MeV)</w:t>
      </w:r>
    </w:p>
    <w:p w:rsidR="005A2ACC" w:rsidRDefault="005A2ACC" w:rsidP="005A2ACC">
      <w:pPr>
        <w:pStyle w:val="ListParagraph"/>
        <w:numPr>
          <w:ilvl w:val="0"/>
          <w:numId w:val="2"/>
        </w:numPr>
        <w:jc w:val="both"/>
      </w:pPr>
      <w:r>
        <w:t>Vogt</w:t>
      </w:r>
      <w:r w:rsidR="00243D93">
        <w:t xml:space="preserve"> </w:t>
      </w:r>
      <w:r w:rsidR="00186234">
        <w:tab/>
      </w:r>
      <w:r w:rsidR="00186234">
        <w:tab/>
      </w:r>
      <w:r w:rsidR="00243D93">
        <w:t>(</w:t>
      </w:r>
      <w:proofErr w:type="spellStart"/>
      <w:r w:rsidR="00243D93">
        <w:rPr>
          <w:i/>
        </w:rPr>
        <w:t>E</w:t>
      </w:r>
      <w:r w:rsidR="00243D93">
        <w:rPr>
          <w:vertAlign w:val="subscript"/>
        </w:rPr>
        <w:t>av</w:t>
      </w:r>
      <w:proofErr w:type="spellEnd"/>
      <w:r w:rsidR="00243D93">
        <w:t>=1.91 MeV)</w:t>
      </w:r>
    </w:p>
    <w:p w:rsidR="00243D93" w:rsidRDefault="005A2ACC" w:rsidP="00243D93">
      <w:pPr>
        <w:jc w:val="both"/>
      </w:pPr>
      <w:r>
        <w:t xml:space="preserve">The spectra and their ratio to the </w:t>
      </w:r>
      <w:proofErr w:type="spellStart"/>
      <w:r>
        <w:t>Maxwellian</w:t>
      </w:r>
      <w:proofErr w:type="spellEnd"/>
      <w:r>
        <w:t xml:space="preserve"> at </w:t>
      </w:r>
      <w:r w:rsidR="00833E87">
        <w:t>a</w:t>
      </w:r>
      <w:r>
        <w:t xml:space="preserve"> temperature of 1.32 MeV are shown in Figure 1.</w:t>
      </w:r>
      <w:r w:rsidR="00243D93">
        <w:t xml:space="preserve"> Note that the spectra differ in the behaviour of the low- and high-energy tails, as well as in the position of the peak, hence the differences in the average neutron energies.</w:t>
      </w:r>
    </w:p>
    <w:p w:rsidR="005A2ACC" w:rsidRDefault="005A2ACC" w:rsidP="005A2ACC">
      <w:pPr>
        <w:jc w:val="both"/>
      </w:pPr>
    </w:p>
    <w:p w:rsidR="005A2ACC" w:rsidRDefault="005A2ACC" w:rsidP="005A2ACC">
      <w:pPr>
        <w:jc w:val="both"/>
      </w:pPr>
      <w:r>
        <w:rPr>
          <w:noProof/>
          <w:lang w:eastAsia="en-GB"/>
        </w:rPr>
        <w:lastRenderedPageBreak/>
        <w:drawing>
          <wp:inline distT="0" distB="0" distL="0" distR="0" wp14:anchorId="5561C8C5" wp14:editId="3717264C">
            <wp:extent cx="5729594" cy="36576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1510" cy="3658823"/>
                    </a:xfrm>
                    <a:prstGeom prst="rect">
                      <a:avLst/>
                    </a:prstGeom>
                  </pic:spPr>
                </pic:pic>
              </a:graphicData>
            </a:graphic>
          </wp:inline>
        </w:drawing>
      </w:r>
    </w:p>
    <w:p w:rsidR="005A2ACC" w:rsidRDefault="005A2ACC" w:rsidP="005A2ACC">
      <w:pPr>
        <w:jc w:val="both"/>
      </w:pPr>
      <w:r>
        <w:t xml:space="preserve">Figure 1: Comparison of prompt fission spectra of </w:t>
      </w:r>
      <w:r w:rsidRPr="00833E87">
        <w:rPr>
          <w:vertAlign w:val="superscript"/>
        </w:rPr>
        <w:t>235</w:t>
      </w:r>
      <w:r>
        <w:t xml:space="preserve">U </w:t>
      </w:r>
      <w:r w:rsidR="00243D93">
        <w:t xml:space="preserve">for thermal neutrons </w:t>
      </w:r>
      <w:r>
        <w:t>by different authors.</w:t>
      </w:r>
    </w:p>
    <w:p w:rsidR="00243D93" w:rsidRDefault="00243D93" w:rsidP="005A2ACC">
      <w:pPr>
        <w:jc w:val="both"/>
      </w:pPr>
      <w:r>
        <w:t xml:space="preserve">Criticality benchmarks from the ICSBEP compilation were analysed. The focus was on the thermal solution benchmarks, which were also reported in the paper on the validation of the ENDF/B-VII.1 Library (Kahler et al., </w:t>
      </w:r>
      <w:r w:rsidR="002D291C">
        <w:t>ENDF/B-VII.1 Neutron Cross Section Data Testing with Critical Assembly Benchmarks and Reactor Experiments, Nuclear Data Sheets 112, 12, 2011). Calculations were performed with the MCNP5 code on</w:t>
      </w:r>
      <w:r w:rsidR="00833E87">
        <w:t xml:space="preserve"> a</w:t>
      </w:r>
      <w:r w:rsidR="002D291C">
        <w:t xml:space="preserve"> Linux </w:t>
      </w:r>
      <w:r w:rsidR="00833E87">
        <w:t xml:space="preserve">machine </w:t>
      </w:r>
      <w:r w:rsidR="002D291C">
        <w:t xml:space="preserve">with the </w:t>
      </w:r>
      <w:r w:rsidR="00833E87">
        <w:t xml:space="preserve">cross section data </w:t>
      </w:r>
      <w:r w:rsidR="002D291C">
        <w:t xml:space="preserve">based on </w:t>
      </w:r>
      <w:r w:rsidR="00833E87">
        <w:t xml:space="preserve">the </w:t>
      </w:r>
      <w:r w:rsidR="002D291C">
        <w:t xml:space="preserve">ENDF/B-VII.1 </w:t>
      </w:r>
      <w:r w:rsidR="00833E87">
        <w:t>library</w:t>
      </w:r>
      <w:r w:rsidR="002D291C">
        <w:t xml:space="preserve"> from LANL, except for the </w:t>
      </w:r>
      <w:r w:rsidR="002D291C" w:rsidRPr="00833E87">
        <w:rPr>
          <w:vertAlign w:val="superscript"/>
        </w:rPr>
        <w:t>235</w:t>
      </w:r>
      <w:r w:rsidR="002D291C">
        <w:t>U data being tested.</w:t>
      </w:r>
    </w:p>
    <w:p w:rsidR="002D291C" w:rsidRDefault="002D291C" w:rsidP="005A2ACC">
      <w:pPr>
        <w:jc w:val="both"/>
      </w:pPr>
      <w:r>
        <w:t>Data processing was done with</w:t>
      </w:r>
      <w:r w:rsidR="00833E87">
        <w:t xml:space="preserve"> the</w:t>
      </w:r>
      <w:r>
        <w:t xml:space="preserve"> NJOY99.393</w:t>
      </w:r>
      <w:r w:rsidR="00833E87">
        <w:t xml:space="preserve"> code</w:t>
      </w:r>
      <w:r>
        <w:t xml:space="preserve">. To validate the processing steps, calculations were done with the original ACE library for MCNP from LANL and with </w:t>
      </w:r>
      <w:r w:rsidRPr="00833E87">
        <w:rPr>
          <w:vertAlign w:val="superscript"/>
        </w:rPr>
        <w:t>235</w:t>
      </w:r>
      <w:r>
        <w:t xml:space="preserve">U data from ENDF/B-VI.1 processed locally. The results agreed </w:t>
      </w:r>
      <w:r w:rsidR="00833E87">
        <w:t xml:space="preserve">to </w:t>
      </w:r>
      <w:r>
        <w:t>within the statistical uncertainties.</w:t>
      </w:r>
    </w:p>
    <w:p w:rsidR="002D291C" w:rsidRDefault="002D291C" w:rsidP="005A2ACC">
      <w:pPr>
        <w:jc w:val="both"/>
      </w:pPr>
      <w:r>
        <w:t>The list of benchmarks included in the analysis is given in Table 1, giving the full ICSBEP label, the short label and the common name, where applicable.</w:t>
      </w:r>
    </w:p>
    <w:p w:rsidR="002338F3" w:rsidRDefault="002338F3" w:rsidP="002338F3">
      <w:pPr>
        <w:pStyle w:val="Heading1"/>
      </w:pPr>
      <w:r>
        <w:t>Benchmark Results</w:t>
      </w:r>
    </w:p>
    <w:p w:rsidR="006F28E6" w:rsidRPr="006F28E6" w:rsidRDefault="00AA41AF" w:rsidP="006F28E6">
      <w:pPr>
        <w:pStyle w:val="Heading2"/>
      </w:pPr>
      <w:r>
        <w:t xml:space="preserve">Prompt Neutron Fission </w:t>
      </w:r>
      <w:r w:rsidR="006F28E6">
        <w:t>Spectra</w:t>
      </w:r>
    </w:p>
    <w:p w:rsidR="00833E87" w:rsidRDefault="00833E87" w:rsidP="005A2ACC">
      <w:pPr>
        <w:jc w:val="both"/>
      </w:pPr>
      <w:r>
        <w:t>The benchmark results with differ</w:t>
      </w:r>
      <w:r w:rsidR="00013BB2">
        <w:t>ent spectra are given in Figure</w:t>
      </w:r>
      <w:r>
        <w:t> 2.</w:t>
      </w:r>
      <w:r w:rsidR="00013BB2">
        <w:t xml:space="preserve"> The calculations with the original ENDF/B-VII.1 library are labelled “e71”; the results with locally-processed </w:t>
      </w:r>
      <w:r w:rsidR="00013BB2" w:rsidRPr="002338F3">
        <w:rPr>
          <w:vertAlign w:val="superscript"/>
        </w:rPr>
        <w:t>235</w:t>
      </w:r>
      <w:r w:rsidR="00013BB2">
        <w:t>U data are labelled “e71_Original”. The “common names” as defined in Table 1 are used to label the benchmarks.</w:t>
      </w:r>
    </w:p>
    <w:p w:rsidR="006F28E6" w:rsidRDefault="006F28E6">
      <w:r>
        <w:br w:type="page"/>
      </w:r>
    </w:p>
    <w:p w:rsidR="00FD78E8" w:rsidRDefault="00FD78E8" w:rsidP="005A2ACC">
      <w:pPr>
        <w:jc w:val="both"/>
      </w:pPr>
      <w:r>
        <w:lastRenderedPageBreak/>
        <w:t xml:space="preserve">Table 1: List of thermal solution </w:t>
      </w:r>
      <w:r w:rsidRPr="00833E87">
        <w:rPr>
          <w:vertAlign w:val="superscript"/>
        </w:rPr>
        <w:t>235</w:t>
      </w:r>
      <w:r>
        <w:t>U benchmarks</w:t>
      </w:r>
    </w:p>
    <w:tbl>
      <w:tblPr>
        <w:tblW w:w="8372" w:type="dxa"/>
        <w:tblInd w:w="93" w:type="dxa"/>
        <w:tblLook w:val="04A0" w:firstRow="1" w:lastRow="0" w:firstColumn="1" w:lastColumn="0" w:noHBand="0" w:noVBand="1"/>
      </w:tblPr>
      <w:tblGrid>
        <w:gridCol w:w="2567"/>
        <w:gridCol w:w="1559"/>
        <w:gridCol w:w="1559"/>
        <w:gridCol w:w="2431"/>
        <w:gridCol w:w="256"/>
      </w:tblGrid>
      <w:tr w:rsidR="002338F3" w:rsidRPr="00FD78E8" w:rsidTr="002338F3">
        <w:trPr>
          <w:trHeight w:val="288"/>
        </w:trPr>
        <w:tc>
          <w:tcPr>
            <w:tcW w:w="2567" w:type="dxa"/>
            <w:tcBorders>
              <w:top w:val="single" w:sz="4" w:space="0" w:color="auto"/>
              <w:left w:val="nil"/>
              <w:bottom w:val="single" w:sz="4" w:space="0" w:color="auto"/>
              <w:right w:val="nil"/>
            </w:tcBorders>
            <w:shd w:val="clear" w:color="auto" w:fill="auto"/>
            <w:noWrap/>
            <w:vAlign w:val="bottom"/>
          </w:tcPr>
          <w:p w:rsidR="002338F3" w:rsidRPr="00FD78E8" w:rsidRDefault="002338F3" w:rsidP="00FD78E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ICSBEP full name</w:t>
            </w:r>
          </w:p>
        </w:tc>
        <w:tc>
          <w:tcPr>
            <w:tcW w:w="1559" w:type="dxa"/>
            <w:tcBorders>
              <w:top w:val="single" w:sz="4" w:space="0" w:color="auto"/>
              <w:left w:val="nil"/>
              <w:bottom w:val="single" w:sz="4" w:space="0" w:color="auto"/>
              <w:right w:val="nil"/>
            </w:tcBorders>
            <w:shd w:val="clear" w:color="auto" w:fill="auto"/>
            <w:noWrap/>
            <w:vAlign w:val="bottom"/>
          </w:tcPr>
          <w:p w:rsidR="002338F3" w:rsidRPr="00FD78E8" w:rsidRDefault="002338F3" w:rsidP="00FD78E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Short name</w:t>
            </w:r>
          </w:p>
        </w:tc>
        <w:tc>
          <w:tcPr>
            <w:tcW w:w="1559" w:type="dxa"/>
            <w:tcBorders>
              <w:top w:val="single" w:sz="4" w:space="0" w:color="auto"/>
              <w:left w:val="nil"/>
              <w:bottom w:val="single" w:sz="4" w:space="0" w:color="auto"/>
              <w:right w:val="nil"/>
            </w:tcBorders>
            <w:shd w:val="clear" w:color="auto" w:fill="auto"/>
            <w:noWrap/>
            <w:vAlign w:val="bottom"/>
          </w:tcPr>
          <w:p w:rsidR="002338F3" w:rsidRPr="00FD78E8" w:rsidRDefault="002338F3" w:rsidP="00FD78E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Common name</w:t>
            </w:r>
          </w:p>
        </w:tc>
        <w:tc>
          <w:tcPr>
            <w:tcW w:w="2687" w:type="dxa"/>
            <w:gridSpan w:val="2"/>
            <w:tcBorders>
              <w:top w:val="single" w:sz="4" w:space="0" w:color="auto"/>
              <w:left w:val="nil"/>
              <w:bottom w:val="single" w:sz="4" w:space="0" w:color="auto"/>
              <w:right w:val="nil"/>
            </w:tcBorders>
          </w:tcPr>
          <w:p w:rsidR="002338F3" w:rsidRDefault="002338F3" w:rsidP="00FD78E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Description</w:t>
            </w:r>
          </w:p>
        </w:tc>
      </w:tr>
      <w:tr w:rsidR="002338F3" w:rsidRPr="00FD78E8" w:rsidTr="002338F3">
        <w:trPr>
          <w:gridAfter w:val="1"/>
          <w:wAfter w:w="256" w:type="dxa"/>
          <w:trHeight w:val="288"/>
        </w:trPr>
        <w:tc>
          <w:tcPr>
            <w:tcW w:w="2567"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HEU-SOL-THERM-009</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hst009-1</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ORNL_S1</w:t>
            </w:r>
          </w:p>
        </w:tc>
        <w:tc>
          <w:tcPr>
            <w:tcW w:w="2431" w:type="dxa"/>
            <w:tcBorders>
              <w:top w:val="nil"/>
              <w:left w:val="nil"/>
              <w:bottom w:val="nil"/>
              <w:right w:val="nil"/>
            </w:tcBorders>
          </w:tcPr>
          <w:p w:rsidR="002338F3" w:rsidRPr="00FD78E8" w:rsidRDefault="002338F3" w:rsidP="00FD78E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ORNL spheres</w:t>
            </w:r>
          </w:p>
        </w:tc>
      </w:tr>
      <w:tr w:rsidR="002338F3" w:rsidRPr="00FD78E8" w:rsidTr="002338F3">
        <w:trPr>
          <w:gridAfter w:val="1"/>
          <w:wAfter w:w="256" w:type="dxa"/>
          <w:trHeight w:val="288"/>
        </w:trPr>
        <w:tc>
          <w:tcPr>
            <w:tcW w:w="2567"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HEU-SOL-THERM-009</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hst009-2</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ORNL_S2</w:t>
            </w:r>
          </w:p>
        </w:tc>
        <w:tc>
          <w:tcPr>
            <w:tcW w:w="2431" w:type="dxa"/>
            <w:tcBorders>
              <w:top w:val="nil"/>
              <w:left w:val="nil"/>
              <w:bottom w:val="nil"/>
              <w:right w:val="nil"/>
            </w:tcBorders>
          </w:tcPr>
          <w:p w:rsidR="002338F3" w:rsidRPr="00FD78E8" w:rsidRDefault="002338F3" w:rsidP="00FD78E8">
            <w:pPr>
              <w:spacing w:after="0" w:line="240" w:lineRule="auto"/>
              <w:rPr>
                <w:rFonts w:ascii="Calibri" w:eastAsia="Times New Roman" w:hAnsi="Calibri" w:cs="Times New Roman"/>
                <w:color w:val="000000"/>
                <w:lang w:eastAsia="en-GB"/>
              </w:rPr>
            </w:pPr>
          </w:p>
        </w:tc>
      </w:tr>
      <w:tr w:rsidR="002338F3" w:rsidRPr="00FD78E8" w:rsidTr="002338F3">
        <w:trPr>
          <w:gridAfter w:val="1"/>
          <w:wAfter w:w="256" w:type="dxa"/>
          <w:trHeight w:val="288"/>
        </w:trPr>
        <w:tc>
          <w:tcPr>
            <w:tcW w:w="2567"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HEU-SOL-THERM-009</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hst009-3</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ORNL_S3</w:t>
            </w:r>
          </w:p>
        </w:tc>
        <w:tc>
          <w:tcPr>
            <w:tcW w:w="2431" w:type="dxa"/>
            <w:tcBorders>
              <w:top w:val="nil"/>
              <w:left w:val="nil"/>
              <w:bottom w:val="nil"/>
              <w:right w:val="nil"/>
            </w:tcBorders>
          </w:tcPr>
          <w:p w:rsidR="002338F3" w:rsidRPr="00FD78E8" w:rsidRDefault="002338F3" w:rsidP="00FD78E8">
            <w:pPr>
              <w:spacing w:after="0" w:line="240" w:lineRule="auto"/>
              <w:rPr>
                <w:rFonts w:ascii="Calibri" w:eastAsia="Times New Roman" w:hAnsi="Calibri" w:cs="Times New Roman"/>
                <w:color w:val="000000"/>
                <w:lang w:eastAsia="en-GB"/>
              </w:rPr>
            </w:pPr>
          </w:p>
        </w:tc>
      </w:tr>
      <w:tr w:rsidR="002338F3" w:rsidRPr="00FD78E8" w:rsidTr="002338F3">
        <w:trPr>
          <w:gridAfter w:val="1"/>
          <w:wAfter w:w="256" w:type="dxa"/>
          <w:trHeight w:val="288"/>
        </w:trPr>
        <w:tc>
          <w:tcPr>
            <w:tcW w:w="2567"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HEU-SOL-THERM-009</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hst009-4</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ORNL_S4</w:t>
            </w:r>
          </w:p>
        </w:tc>
        <w:tc>
          <w:tcPr>
            <w:tcW w:w="2431" w:type="dxa"/>
            <w:tcBorders>
              <w:top w:val="nil"/>
              <w:left w:val="nil"/>
              <w:bottom w:val="nil"/>
              <w:right w:val="nil"/>
            </w:tcBorders>
          </w:tcPr>
          <w:p w:rsidR="002338F3" w:rsidRPr="00FD78E8" w:rsidRDefault="002338F3" w:rsidP="00FD78E8">
            <w:pPr>
              <w:spacing w:after="0" w:line="240" w:lineRule="auto"/>
              <w:rPr>
                <w:rFonts w:ascii="Calibri" w:eastAsia="Times New Roman" w:hAnsi="Calibri" w:cs="Times New Roman"/>
                <w:color w:val="000000"/>
                <w:lang w:eastAsia="en-GB"/>
              </w:rPr>
            </w:pPr>
          </w:p>
        </w:tc>
      </w:tr>
      <w:tr w:rsidR="002338F3" w:rsidRPr="00FD78E8" w:rsidTr="002338F3">
        <w:trPr>
          <w:gridAfter w:val="1"/>
          <w:wAfter w:w="256" w:type="dxa"/>
          <w:trHeight w:val="288"/>
        </w:trPr>
        <w:tc>
          <w:tcPr>
            <w:tcW w:w="2567"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p>
        </w:tc>
        <w:tc>
          <w:tcPr>
            <w:tcW w:w="2431" w:type="dxa"/>
            <w:tcBorders>
              <w:top w:val="nil"/>
              <w:left w:val="nil"/>
              <w:bottom w:val="nil"/>
              <w:right w:val="nil"/>
            </w:tcBorders>
          </w:tcPr>
          <w:p w:rsidR="002338F3" w:rsidRPr="00FD78E8" w:rsidRDefault="002338F3" w:rsidP="00FD78E8">
            <w:pPr>
              <w:spacing w:after="0" w:line="240" w:lineRule="auto"/>
              <w:rPr>
                <w:rFonts w:ascii="Calibri" w:eastAsia="Times New Roman" w:hAnsi="Calibri" w:cs="Times New Roman"/>
                <w:color w:val="000000"/>
                <w:lang w:eastAsia="en-GB"/>
              </w:rPr>
            </w:pPr>
          </w:p>
        </w:tc>
      </w:tr>
      <w:tr w:rsidR="002338F3" w:rsidRPr="00FD78E8" w:rsidTr="002338F3">
        <w:trPr>
          <w:gridAfter w:val="1"/>
          <w:wAfter w:w="256" w:type="dxa"/>
          <w:trHeight w:val="288"/>
        </w:trPr>
        <w:tc>
          <w:tcPr>
            <w:tcW w:w="2567"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HEU-SOL-THERM-013</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hst013-1</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ORNL_T1</w:t>
            </w:r>
          </w:p>
        </w:tc>
        <w:tc>
          <w:tcPr>
            <w:tcW w:w="2431" w:type="dxa"/>
            <w:tcBorders>
              <w:top w:val="nil"/>
              <w:left w:val="nil"/>
              <w:bottom w:val="nil"/>
              <w:right w:val="nil"/>
            </w:tcBorders>
          </w:tcPr>
          <w:p w:rsidR="002338F3" w:rsidRPr="00FD78E8" w:rsidRDefault="002338F3" w:rsidP="00FD78E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ORNL borated solutions</w:t>
            </w:r>
          </w:p>
        </w:tc>
      </w:tr>
      <w:tr w:rsidR="002338F3" w:rsidRPr="00FD78E8" w:rsidTr="002338F3">
        <w:trPr>
          <w:gridAfter w:val="1"/>
          <w:wAfter w:w="256" w:type="dxa"/>
          <w:trHeight w:val="288"/>
        </w:trPr>
        <w:tc>
          <w:tcPr>
            <w:tcW w:w="2567"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HEU-SOL-THERM-013</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hst013-2</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ORNL_T2</w:t>
            </w:r>
          </w:p>
        </w:tc>
        <w:tc>
          <w:tcPr>
            <w:tcW w:w="2431" w:type="dxa"/>
            <w:tcBorders>
              <w:top w:val="nil"/>
              <w:left w:val="nil"/>
              <w:bottom w:val="nil"/>
              <w:right w:val="nil"/>
            </w:tcBorders>
          </w:tcPr>
          <w:p w:rsidR="002338F3" w:rsidRPr="00FD78E8" w:rsidRDefault="002338F3" w:rsidP="00FD78E8">
            <w:pPr>
              <w:spacing w:after="0" w:line="240" w:lineRule="auto"/>
              <w:rPr>
                <w:rFonts w:ascii="Calibri" w:eastAsia="Times New Roman" w:hAnsi="Calibri" w:cs="Times New Roman"/>
                <w:color w:val="000000"/>
                <w:lang w:eastAsia="en-GB"/>
              </w:rPr>
            </w:pPr>
          </w:p>
        </w:tc>
      </w:tr>
      <w:tr w:rsidR="002338F3" w:rsidRPr="00FD78E8" w:rsidTr="002338F3">
        <w:trPr>
          <w:gridAfter w:val="1"/>
          <w:wAfter w:w="256" w:type="dxa"/>
          <w:trHeight w:val="288"/>
        </w:trPr>
        <w:tc>
          <w:tcPr>
            <w:tcW w:w="2567"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HEU-SOL-THERM-013</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hst013-3</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ORNL_T3</w:t>
            </w:r>
          </w:p>
        </w:tc>
        <w:tc>
          <w:tcPr>
            <w:tcW w:w="2431" w:type="dxa"/>
            <w:tcBorders>
              <w:top w:val="nil"/>
              <w:left w:val="nil"/>
              <w:bottom w:val="nil"/>
              <w:right w:val="nil"/>
            </w:tcBorders>
          </w:tcPr>
          <w:p w:rsidR="002338F3" w:rsidRPr="00FD78E8" w:rsidRDefault="002338F3" w:rsidP="00FD78E8">
            <w:pPr>
              <w:spacing w:after="0" w:line="240" w:lineRule="auto"/>
              <w:rPr>
                <w:rFonts w:ascii="Calibri" w:eastAsia="Times New Roman" w:hAnsi="Calibri" w:cs="Times New Roman"/>
                <w:color w:val="000000"/>
                <w:lang w:eastAsia="en-GB"/>
              </w:rPr>
            </w:pPr>
          </w:p>
        </w:tc>
      </w:tr>
      <w:tr w:rsidR="002338F3" w:rsidRPr="00FD78E8" w:rsidTr="002338F3">
        <w:trPr>
          <w:gridAfter w:val="1"/>
          <w:wAfter w:w="256" w:type="dxa"/>
          <w:trHeight w:val="288"/>
        </w:trPr>
        <w:tc>
          <w:tcPr>
            <w:tcW w:w="2567"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HEU-SOL-THERM-013</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hst013-4</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ORNL_T4</w:t>
            </w:r>
          </w:p>
        </w:tc>
        <w:tc>
          <w:tcPr>
            <w:tcW w:w="2431" w:type="dxa"/>
            <w:tcBorders>
              <w:top w:val="nil"/>
              <w:left w:val="nil"/>
              <w:bottom w:val="nil"/>
              <w:right w:val="nil"/>
            </w:tcBorders>
          </w:tcPr>
          <w:p w:rsidR="002338F3" w:rsidRPr="00FD78E8" w:rsidRDefault="002338F3" w:rsidP="00FD78E8">
            <w:pPr>
              <w:spacing w:after="0" w:line="240" w:lineRule="auto"/>
              <w:rPr>
                <w:rFonts w:ascii="Calibri" w:eastAsia="Times New Roman" w:hAnsi="Calibri" w:cs="Times New Roman"/>
                <w:color w:val="000000"/>
                <w:lang w:eastAsia="en-GB"/>
              </w:rPr>
            </w:pPr>
          </w:p>
        </w:tc>
      </w:tr>
      <w:tr w:rsidR="002338F3" w:rsidRPr="00FD78E8" w:rsidTr="002338F3">
        <w:trPr>
          <w:gridAfter w:val="1"/>
          <w:wAfter w:w="256" w:type="dxa"/>
          <w:trHeight w:val="288"/>
        </w:trPr>
        <w:tc>
          <w:tcPr>
            <w:tcW w:w="2567"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p>
        </w:tc>
        <w:tc>
          <w:tcPr>
            <w:tcW w:w="2431" w:type="dxa"/>
            <w:tcBorders>
              <w:top w:val="nil"/>
              <w:left w:val="nil"/>
              <w:bottom w:val="nil"/>
              <w:right w:val="nil"/>
            </w:tcBorders>
          </w:tcPr>
          <w:p w:rsidR="002338F3" w:rsidRPr="00FD78E8" w:rsidRDefault="002338F3" w:rsidP="00FD78E8">
            <w:pPr>
              <w:spacing w:after="0" w:line="240" w:lineRule="auto"/>
              <w:rPr>
                <w:rFonts w:ascii="Calibri" w:eastAsia="Times New Roman" w:hAnsi="Calibri" w:cs="Times New Roman"/>
                <w:color w:val="000000"/>
                <w:lang w:eastAsia="en-GB"/>
              </w:rPr>
            </w:pPr>
          </w:p>
        </w:tc>
      </w:tr>
      <w:tr w:rsidR="002338F3" w:rsidRPr="00FD78E8" w:rsidTr="002338F3">
        <w:trPr>
          <w:gridAfter w:val="1"/>
          <w:wAfter w:w="256" w:type="dxa"/>
          <w:trHeight w:val="288"/>
        </w:trPr>
        <w:tc>
          <w:tcPr>
            <w:tcW w:w="2567"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HEU-SOL-THERM-032</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hst032</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ORNL_T5</w:t>
            </w:r>
          </w:p>
        </w:tc>
        <w:tc>
          <w:tcPr>
            <w:tcW w:w="2431" w:type="dxa"/>
            <w:tcBorders>
              <w:top w:val="nil"/>
              <w:left w:val="nil"/>
              <w:bottom w:val="nil"/>
              <w:right w:val="nil"/>
            </w:tcBorders>
          </w:tcPr>
          <w:p w:rsidR="002338F3" w:rsidRPr="00FD78E8" w:rsidRDefault="002338F3" w:rsidP="00FD78E8">
            <w:pPr>
              <w:spacing w:after="0" w:line="240" w:lineRule="auto"/>
              <w:rPr>
                <w:rFonts w:ascii="Calibri" w:eastAsia="Times New Roman" w:hAnsi="Calibri" w:cs="Times New Roman"/>
                <w:color w:val="000000"/>
                <w:lang w:eastAsia="en-GB"/>
              </w:rPr>
            </w:pPr>
          </w:p>
        </w:tc>
      </w:tr>
      <w:tr w:rsidR="002338F3" w:rsidRPr="00FD78E8" w:rsidTr="002338F3">
        <w:trPr>
          <w:gridAfter w:val="1"/>
          <w:wAfter w:w="256" w:type="dxa"/>
          <w:trHeight w:val="288"/>
        </w:trPr>
        <w:tc>
          <w:tcPr>
            <w:tcW w:w="2567"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p>
        </w:tc>
        <w:tc>
          <w:tcPr>
            <w:tcW w:w="2431" w:type="dxa"/>
            <w:tcBorders>
              <w:top w:val="nil"/>
              <w:left w:val="nil"/>
              <w:bottom w:val="nil"/>
              <w:right w:val="nil"/>
            </w:tcBorders>
          </w:tcPr>
          <w:p w:rsidR="002338F3" w:rsidRPr="00FD78E8" w:rsidRDefault="002338F3" w:rsidP="00FD78E8">
            <w:pPr>
              <w:spacing w:after="0" w:line="240" w:lineRule="auto"/>
              <w:rPr>
                <w:rFonts w:ascii="Calibri" w:eastAsia="Times New Roman" w:hAnsi="Calibri" w:cs="Times New Roman"/>
                <w:color w:val="000000"/>
                <w:lang w:eastAsia="en-GB"/>
              </w:rPr>
            </w:pPr>
          </w:p>
        </w:tc>
      </w:tr>
      <w:tr w:rsidR="002338F3" w:rsidRPr="00FD78E8" w:rsidTr="002338F3">
        <w:trPr>
          <w:gridAfter w:val="1"/>
          <w:wAfter w:w="256" w:type="dxa"/>
          <w:trHeight w:val="288"/>
        </w:trPr>
        <w:tc>
          <w:tcPr>
            <w:tcW w:w="2567"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HEU-SOL-THERM-001</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hst001-01</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R</w:t>
            </w:r>
            <w:r>
              <w:rPr>
                <w:rFonts w:ascii="Calibri" w:eastAsia="Times New Roman" w:hAnsi="Calibri" w:cs="Times New Roman"/>
                <w:color w:val="000000"/>
                <w:lang w:eastAsia="en-GB"/>
              </w:rPr>
              <w:t>ockwell-</w:t>
            </w:r>
            <w:r w:rsidRPr="00FD78E8">
              <w:rPr>
                <w:rFonts w:ascii="Calibri" w:eastAsia="Times New Roman" w:hAnsi="Calibri" w:cs="Times New Roman"/>
                <w:color w:val="000000"/>
                <w:lang w:eastAsia="en-GB"/>
              </w:rPr>
              <w:t>01</w:t>
            </w:r>
          </w:p>
        </w:tc>
        <w:tc>
          <w:tcPr>
            <w:tcW w:w="2431" w:type="dxa"/>
            <w:tcBorders>
              <w:top w:val="nil"/>
              <w:left w:val="nil"/>
              <w:bottom w:val="nil"/>
              <w:right w:val="nil"/>
            </w:tcBorders>
          </w:tcPr>
          <w:p w:rsidR="002338F3" w:rsidRPr="00FD78E8" w:rsidRDefault="002338F3" w:rsidP="00FD78E8">
            <w:pPr>
              <w:spacing w:after="0" w:line="240" w:lineRule="auto"/>
              <w:rPr>
                <w:rFonts w:ascii="Calibri" w:eastAsia="Times New Roman" w:hAnsi="Calibri" w:cs="Times New Roman"/>
                <w:color w:val="000000"/>
                <w:lang w:eastAsia="en-GB"/>
              </w:rPr>
            </w:pPr>
          </w:p>
        </w:tc>
      </w:tr>
      <w:tr w:rsidR="002338F3" w:rsidRPr="00FD78E8" w:rsidTr="002338F3">
        <w:trPr>
          <w:gridAfter w:val="1"/>
          <w:wAfter w:w="256" w:type="dxa"/>
          <w:trHeight w:val="288"/>
        </w:trPr>
        <w:tc>
          <w:tcPr>
            <w:tcW w:w="2567"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HEU-SOL-THERM-001</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hst001-02</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R</w:t>
            </w:r>
            <w:r>
              <w:rPr>
                <w:rFonts w:ascii="Calibri" w:eastAsia="Times New Roman" w:hAnsi="Calibri" w:cs="Times New Roman"/>
                <w:color w:val="000000"/>
                <w:lang w:eastAsia="en-GB"/>
              </w:rPr>
              <w:t>ockwell-</w:t>
            </w:r>
            <w:r w:rsidRPr="00FD78E8">
              <w:rPr>
                <w:rFonts w:ascii="Calibri" w:eastAsia="Times New Roman" w:hAnsi="Calibri" w:cs="Times New Roman"/>
                <w:color w:val="000000"/>
                <w:lang w:eastAsia="en-GB"/>
              </w:rPr>
              <w:t>02</w:t>
            </w:r>
          </w:p>
        </w:tc>
        <w:tc>
          <w:tcPr>
            <w:tcW w:w="2431" w:type="dxa"/>
            <w:tcBorders>
              <w:top w:val="nil"/>
              <w:left w:val="nil"/>
              <w:bottom w:val="nil"/>
              <w:right w:val="nil"/>
            </w:tcBorders>
          </w:tcPr>
          <w:p w:rsidR="002338F3" w:rsidRPr="00FD78E8" w:rsidRDefault="002338F3" w:rsidP="00FD78E8">
            <w:pPr>
              <w:spacing w:after="0" w:line="240" w:lineRule="auto"/>
              <w:rPr>
                <w:rFonts w:ascii="Calibri" w:eastAsia="Times New Roman" w:hAnsi="Calibri" w:cs="Times New Roman"/>
                <w:color w:val="000000"/>
                <w:lang w:eastAsia="en-GB"/>
              </w:rPr>
            </w:pPr>
          </w:p>
        </w:tc>
      </w:tr>
      <w:tr w:rsidR="002338F3" w:rsidRPr="00FD78E8" w:rsidTr="002338F3">
        <w:trPr>
          <w:gridAfter w:val="1"/>
          <w:wAfter w:w="256" w:type="dxa"/>
          <w:trHeight w:val="288"/>
        </w:trPr>
        <w:tc>
          <w:tcPr>
            <w:tcW w:w="2567"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HEU-SOL-THERM-001</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hst001-03</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R</w:t>
            </w:r>
            <w:r>
              <w:rPr>
                <w:rFonts w:ascii="Calibri" w:eastAsia="Times New Roman" w:hAnsi="Calibri" w:cs="Times New Roman"/>
                <w:color w:val="000000"/>
                <w:lang w:eastAsia="en-GB"/>
              </w:rPr>
              <w:t>ockwell-</w:t>
            </w:r>
            <w:r w:rsidRPr="00FD78E8">
              <w:rPr>
                <w:rFonts w:ascii="Calibri" w:eastAsia="Times New Roman" w:hAnsi="Calibri" w:cs="Times New Roman"/>
                <w:color w:val="000000"/>
                <w:lang w:eastAsia="en-GB"/>
              </w:rPr>
              <w:t>03</w:t>
            </w:r>
          </w:p>
        </w:tc>
        <w:tc>
          <w:tcPr>
            <w:tcW w:w="2431" w:type="dxa"/>
            <w:tcBorders>
              <w:top w:val="nil"/>
              <w:left w:val="nil"/>
              <w:bottom w:val="nil"/>
              <w:right w:val="nil"/>
            </w:tcBorders>
          </w:tcPr>
          <w:p w:rsidR="002338F3" w:rsidRPr="00FD78E8" w:rsidRDefault="002338F3" w:rsidP="00FD78E8">
            <w:pPr>
              <w:spacing w:after="0" w:line="240" w:lineRule="auto"/>
              <w:rPr>
                <w:rFonts w:ascii="Calibri" w:eastAsia="Times New Roman" w:hAnsi="Calibri" w:cs="Times New Roman"/>
                <w:color w:val="000000"/>
                <w:lang w:eastAsia="en-GB"/>
              </w:rPr>
            </w:pPr>
          </w:p>
        </w:tc>
      </w:tr>
      <w:tr w:rsidR="002338F3" w:rsidRPr="00FD78E8" w:rsidTr="002338F3">
        <w:trPr>
          <w:gridAfter w:val="1"/>
          <w:wAfter w:w="256" w:type="dxa"/>
          <w:trHeight w:val="288"/>
        </w:trPr>
        <w:tc>
          <w:tcPr>
            <w:tcW w:w="2567"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HEU-SOL-THERM-001</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hst001-04</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R</w:t>
            </w:r>
            <w:r>
              <w:rPr>
                <w:rFonts w:ascii="Calibri" w:eastAsia="Times New Roman" w:hAnsi="Calibri" w:cs="Times New Roman"/>
                <w:color w:val="000000"/>
                <w:lang w:eastAsia="en-GB"/>
              </w:rPr>
              <w:t>ockwell-</w:t>
            </w:r>
            <w:r w:rsidRPr="00FD78E8">
              <w:rPr>
                <w:rFonts w:ascii="Calibri" w:eastAsia="Times New Roman" w:hAnsi="Calibri" w:cs="Times New Roman"/>
                <w:color w:val="000000"/>
                <w:lang w:eastAsia="en-GB"/>
              </w:rPr>
              <w:t>04</w:t>
            </w:r>
          </w:p>
        </w:tc>
        <w:tc>
          <w:tcPr>
            <w:tcW w:w="2431" w:type="dxa"/>
            <w:tcBorders>
              <w:top w:val="nil"/>
              <w:left w:val="nil"/>
              <w:bottom w:val="nil"/>
              <w:right w:val="nil"/>
            </w:tcBorders>
          </w:tcPr>
          <w:p w:rsidR="002338F3" w:rsidRPr="00FD78E8" w:rsidRDefault="002338F3" w:rsidP="00FD78E8">
            <w:pPr>
              <w:spacing w:after="0" w:line="240" w:lineRule="auto"/>
              <w:rPr>
                <w:rFonts w:ascii="Calibri" w:eastAsia="Times New Roman" w:hAnsi="Calibri" w:cs="Times New Roman"/>
                <w:color w:val="000000"/>
                <w:lang w:eastAsia="en-GB"/>
              </w:rPr>
            </w:pPr>
          </w:p>
        </w:tc>
      </w:tr>
      <w:tr w:rsidR="002338F3" w:rsidRPr="00FD78E8" w:rsidTr="002338F3">
        <w:trPr>
          <w:gridAfter w:val="1"/>
          <w:wAfter w:w="256" w:type="dxa"/>
          <w:trHeight w:val="288"/>
        </w:trPr>
        <w:tc>
          <w:tcPr>
            <w:tcW w:w="2567"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HEU-SOL-THERM-001</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hst001-05</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R</w:t>
            </w:r>
            <w:r>
              <w:rPr>
                <w:rFonts w:ascii="Calibri" w:eastAsia="Times New Roman" w:hAnsi="Calibri" w:cs="Times New Roman"/>
                <w:color w:val="000000"/>
                <w:lang w:eastAsia="en-GB"/>
              </w:rPr>
              <w:t>ockwell-</w:t>
            </w:r>
            <w:r w:rsidRPr="00FD78E8">
              <w:rPr>
                <w:rFonts w:ascii="Calibri" w:eastAsia="Times New Roman" w:hAnsi="Calibri" w:cs="Times New Roman"/>
                <w:color w:val="000000"/>
                <w:lang w:eastAsia="en-GB"/>
              </w:rPr>
              <w:t>05</w:t>
            </w:r>
          </w:p>
        </w:tc>
        <w:tc>
          <w:tcPr>
            <w:tcW w:w="2431" w:type="dxa"/>
            <w:tcBorders>
              <w:top w:val="nil"/>
              <w:left w:val="nil"/>
              <w:bottom w:val="nil"/>
              <w:right w:val="nil"/>
            </w:tcBorders>
          </w:tcPr>
          <w:p w:rsidR="002338F3" w:rsidRPr="00FD78E8" w:rsidRDefault="002338F3" w:rsidP="00FD78E8">
            <w:pPr>
              <w:spacing w:after="0" w:line="240" w:lineRule="auto"/>
              <w:rPr>
                <w:rFonts w:ascii="Calibri" w:eastAsia="Times New Roman" w:hAnsi="Calibri" w:cs="Times New Roman"/>
                <w:color w:val="000000"/>
                <w:lang w:eastAsia="en-GB"/>
              </w:rPr>
            </w:pPr>
          </w:p>
        </w:tc>
      </w:tr>
      <w:tr w:rsidR="002338F3" w:rsidRPr="00FD78E8" w:rsidTr="002338F3">
        <w:trPr>
          <w:gridAfter w:val="1"/>
          <w:wAfter w:w="256" w:type="dxa"/>
          <w:trHeight w:val="288"/>
        </w:trPr>
        <w:tc>
          <w:tcPr>
            <w:tcW w:w="2567"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HEU-SOL-THERM-001</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hst001-06</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R</w:t>
            </w:r>
            <w:r>
              <w:rPr>
                <w:rFonts w:ascii="Calibri" w:eastAsia="Times New Roman" w:hAnsi="Calibri" w:cs="Times New Roman"/>
                <w:color w:val="000000"/>
                <w:lang w:eastAsia="en-GB"/>
              </w:rPr>
              <w:t>ockwell-</w:t>
            </w:r>
            <w:r w:rsidRPr="00FD78E8">
              <w:rPr>
                <w:rFonts w:ascii="Calibri" w:eastAsia="Times New Roman" w:hAnsi="Calibri" w:cs="Times New Roman"/>
                <w:color w:val="000000"/>
                <w:lang w:eastAsia="en-GB"/>
              </w:rPr>
              <w:t>06</w:t>
            </w:r>
          </w:p>
        </w:tc>
        <w:tc>
          <w:tcPr>
            <w:tcW w:w="2431" w:type="dxa"/>
            <w:tcBorders>
              <w:top w:val="nil"/>
              <w:left w:val="nil"/>
              <w:bottom w:val="nil"/>
              <w:right w:val="nil"/>
            </w:tcBorders>
          </w:tcPr>
          <w:p w:rsidR="002338F3" w:rsidRPr="00FD78E8" w:rsidRDefault="002338F3" w:rsidP="00FD78E8">
            <w:pPr>
              <w:spacing w:after="0" w:line="240" w:lineRule="auto"/>
              <w:rPr>
                <w:rFonts w:ascii="Calibri" w:eastAsia="Times New Roman" w:hAnsi="Calibri" w:cs="Times New Roman"/>
                <w:color w:val="000000"/>
                <w:lang w:eastAsia="en-GB"/>
              </w:rPr>
            </w:pPr>
          </w:p>
        </w:tc>
      </w:tr>
      <w:tr w:rsidR="002338F3" w:rsidRPr="00FD78E8" w:rsidTr="002338F3">
        <w:trPr>
          <w:gridAfter w:val="1"/>
          <w:wAfter w:w="256" w:type="dxa"/>
          <w:trHeight w:val="288"/>
        </w:trPr>
        <w:tc>
          <w:tcPr>
            <w:tcW w:w="2567"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HEU-SOL-THERM-001</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hst001-07</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R</w:t>
            </w:r>
            <w:r>
              <w:rPr>
                <w:rFonts w:ascii="Calibri" w:eastAsia="Times New Roman" w:hAnsi="Calibri" w:cs="Times New Roman"/>
                <w:color w:val="000000"/>
                <w:lang w:eastAsia="en-GB"/>
              </w:rPr>
              <w:t>ockwell-</w:t>
            </w:r>
            <w:r w:rsidRPr="00FD78E8">
              <w:rPr>
                <w:rFonts w:ascii="Calibri" w:eastAsia="Times New Roman" w:hAnsi="Calibri" w:cs="Times New Roman"/>
                <w:color w:val="000000"/>
                <w:lang w:eastAsia="en-GB"/>
              </w:rPr>
              <w:t>07</w:t>
            </w:r>
          </w:p>
        </w:tc>
        <w:tc>
          <w:tcPr>
            <w:tcW w:w="2431" w:type="dxa"/>
            <w:tcBorders>
              <w:top w:val="nil"/>
              <w:left w:val="nil"/>
              <w:bottom w:val="nil"/>
              <w:right w:val="nil"/>
            </w:tcBorders>
          </w:tcPr>
          <w:p w:rsidR="002338F3" w:rsidRPr="00FD78E8" w:rsidRDefault="002338F3" w:rsidP="00FD78E8">
            <w:pPr>
              <w:spacing w:after="0" w:line="240" w:lineRule="auto"/>
              <w:rPr>
                <w:rFonts w:ascii="Calibri" w:eastAsia="Times New Roman" w:hAnsi="Calibri" w:cs="Times New Roman"/>
                <w:color w:val="000000"/>
                <w:lang w:eastAsia="en-GB"/>
              </w:rPr>
            </w:pPr>
          </w:p>
        </w:tc>
      </w:tr>
      <w:tr w:rsidR="002338F3" w:rsidRPr="00FD78E8" w:rsidTr="002338F3">
        <w:trPr>
          <w:gridAfter w:val="1"/>
          <w:wAfter w:w="256" w:type="dxa"/>
          <w:trHeight w:val="288"/>
        </w:trPr>
        <w:tc>
          <w:tcPr>
            <w:tcW w:w="2567"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HEU-SOL-THERM-001</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hst001-08</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R</w:t>
            </w:r>
            <w:r>
              <w:rPr>
                <w:rFonts w:ascii="Calibri" w:eastAsia="Times New Roman" w:hAnsi="Calibri" w:cs="Times New Roman"/>
                <w:color w:val="000000"/>
                <w:lang w:eastAsia="en-GB"/>
              </w:rPr>
              <w:t>ockwell-</w:t>
            </w:r>
            <w:r w:rsidRPr="00FD78E8">
              <w:rPr>
                <w:rFonts w:ascii="Calibri" w:eastAsia="Times New Roman" w:hAnsi="Calibri" w:cs="Times New Roman"/>
                <w:color w:val="000000"/>
                <w:lang w:eastAsia="en-GB"/>
              </w:rPr>
              <w:t>08</w:t>
            </w:r>
          </w:p>
        </w:tc>
        <w:tc>
          <w:tcPr>
            <w:tcW w:w="2431" w:type="dxa"/>
            <w:tcBorders>
              <w:top w:val="nil"/>
              <w:left w:val="nil"/>
              <w:bottom w:val="nil"/>
              <w:right w:val="nil"/>
            </w:tcBorders>
          </w:tcPr>
          <w:p w:rsidR="002338F3" w:rsidRPr="00FD78E8" w:rsidRDefault="002338F3" w:rsidP="00FD78E8">
            <w:pPr>
              <w:spacing w:after="0" w:line="240" w:lineRule="auto"/>
              <w:rPr>
                <w:rFonts w:ascii="Calibri" w:eastAsia="Times New Roman" w:hAnsi="Calibri" w:cs="Times New Roman"/>
                <w:color w:val="000000"/>
                <w:lang w:eastAsia="en-GB"/>
              </w:rPr>
            </w:pPr>
          </w:p>
        </w:tc>
      </w:tr>
      <w:tr w:rsidR="002338F3" w:rsidRPr="00FD78E8" w:rsidTr="002338F3">
        <w:trPr>
          <w:gridAfter w:val="1"/>
          <w:wAfter w:w="256" w:type="dxa"/>
          <w:trHeight w:val="288"/>
        </w:trPr>
        <w:tc>
          <w:tcPr>
            <w:tcW w:w="2567"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HEU-SOL-THERM-001</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hst001-09</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R</w:t>
            </w:r>
            <w:r>
              <w:rPr>
                <w:rFonts w:ascii="Calibri" w:eastAsia="Times New Roman" w:hAnsi="Calibri" w:cs="Times New Roman"/>
                <w:color w:val="000000"/>
                <w:lang w:eastAsia="en-GB"/>
              </w:rPr>
              <w:t>ockwell-</w:t>
            </w:r>
            <w:r w:rsidRPr="00FD78E8">
              <w:rPr>
                <w:rFonts w:ascii="Calibri" w:eastAsia="Times New Roman" w:hAnsi="Calibri" w:cs="Times New Roman"/>
                <w:color w:val="000000"/>
                <w:lang w:eastAsia="en-GB"/>
              </w:rPr>
              <w:t>09</w:t>
            </w:r>
          </w:p>
        </w:tc>
        <w:tc>
          <w:tcPr>
            <w:tcW w:w="2431" w:type="dxa"/>
            <w:tcBorders>
              <w:top w:val="nil"/>
              <w:left w:val="nil"/>
              <w:bottom w:val="nil"/>
              <w:right w:val="nil"/>
            </w:tcBorders>
          </w:tcPr>
          <w:p w:rsidR="002338F3" w:rsidRPr="00FD78E8" w:rsidRDefault="002338F3" w:rsidP="00FD78E8">
            <w:pPr>
              <w:spacing w:after="0" w:line="240" w:lineRule="auto"/>
              <w:rPr>
                <w:rFonts w:ascii="Calibri" w:eastAsia="Times New Roman" w:hAnsi="Calibri" w:cs="Times New Roman"/>
                <w:color w:val="000000"/>
                <w:lang w:eastAsia="en-GB"/>
              </w:rPr>
            </w:pPr>
          </w:p>
        </w:tc>
      </w:tr>
      <w:tr w:rsidR="002338F3" w:rsidRPr="00FD78E8" w:rsidTr="002338F3">
        <w:trPr>
          <w:gridAfter w:val="1"/>
          <w:wAfter w:w="256" w:type="dxa"/>
          <w:trHeight w:val="288"/>
        </w:trPr>
        <w:tc>
          <w:tcPr>
            <w:tcW w:w="2567"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HEU-SOL-THERM-001</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hst001-10</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R</w:t>
            </w:r>
            <w:r>
              <w:rPr>
                <w:rFonts w:ascii="Calibri" w:eastAsia="Times New Roman" w:hAnsi="Calibri" w:cs="Times New Roman"/>
                <w:color w:val="000000"/>
                <w:lang w:eastAsia="en-GB"/>
              </w:rPr>
              <w:t>ockwell-</w:t>
            </w:r>
            <w:r w:rsidRPr="00FD78E8">
              <w:rPr>
                <w:rFonts w:ascii="Calibri" w:eastAsia="Times New Roman" w:hAnsi="Calibri" w:cs="Times New Roman"/>
                <w:color w:val="000000"/>
                <w:lang w:eastAsia="en-GB"/>
              </w:rPr>
              <w:t>10</w:t>
            </w:r>
          </w:p>
        </w:tc>
        <w:tc>
          <w:tcPr>
            <w:tcW w:w="2431" w:type="dxa"/>
            <w:tcBorders>
              <w:top w:val="nil"/>
              <w:left w:val="nil"/>
              <w:bottom w:val="nil"/>
              <w:right w:val="nil"/>
            </w:tcBorders>
          </w:tcPr>
          <w:p w:rsidR="002338F3" w:rsidRPr="00FD78E8" w:rsidRDefault="002338F3" w:rsidP="00FD78E8">
            <w:pPr>
              <w:spacing w:after="0" w:line="240" w:lineRule="auto"/>
              <w:rPr>
                <w:rFonts w:ascii="Calibri" w:eastAsia="Times New Roman" w:hAnsi="Calibri" w:cs="Times New Roman"/>
                <w:color w:val="000000"/>
                <w:lang w:eastAsia="en-GB"/>
              </w:rPr>
            </w:pPr>
          </w:p>
        </w:tc>
      </w:tr>
      <w:tr w:rsidR="002338F3" w:rsidRPr="00FD78E8" w:rsidTr="002338F3">
        <w:trPr>
          <w:gridAfter w:val="1"/>
          <w:wAfter w:w="256" w:type="dxa"/>
          <w:trHeight w:val="288"/>
        </w:trPr>
        <w:tc>
          <w:tcPr>
            <w:tcW w:w="2567"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p>
        </w:tc>
        <w:tc>
          <w:tcPr>
            <w:tcW w:w="2431" w:type="dxa"/>
            <w:tcBorders>
              <w:top w:val="nil"/>
              <w:left w:val="nil"/>
              <w:bottom w:val="nil"/>
              <w:right w:val="nil"/>
            </w:tcBorders>
          </w:tcPr>
          <w:p w:rsidR="002338F3" w:rsidRPr="00FD78E8" w:rsidRDefault="002338F3" w:rsidP="00FD78E8">
            <w:pPr>
              <w:spacing w:after="0" w:line="240" w:lineRule="auto"/>
              <w:rPr>
                <w:rFonts w:ascii="Calibri" w:eastAsia="Times New Roman" w:hAnsi="Calibri" w:cs="Times New Roman"/>
                <w:color w:val="000000"/>
                <w:lang w:eastAsia="en-GB"/>
              </w:rPr>
            </w:pPr>
          </w:p>
        </w:tc>
      </w:tr>
      <w:tr w:rsidR="002338F3" w:rsidRPr="00FD78E8" w:rsidTr="002338F3">
        <w:trPr>
          <w:gridAfter w:val="1"/>
          <w:wAfter w:w="256" w:type="dxa"/>
          <w:trHeight w:val="288"/>
        </w:trPr>
        <w:tc>
          <w:tcPr>
            <w:tcW w:w="2567"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HEU-SOL-THERM-042</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hst042-1</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ORNL_C1</w:t>
            </w:r>
          </w:p>
        </w:tc>
        <w:tc>
          <w:tcPr>
            <w:tcW w:w="2431" w:type="dxa"/>
            <w:tcBorders>
              <w:top w:val="nil"/>
              <w:left w:val="nil"/>
              <w:bottom w:val="nil"/>
              <w:right w:val="nil"/>
            </w:tcBorders>
          </w:tcPr>
          <w:p w:rsidR="002338F3" w:rsidRPr="00FD78E8" w:rsidRDefault="002338F3" w:rsidP="00FD78E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ORNL cylinders</w:t>
            </w:r>
          </w:p>
        </w:tc>
      </w:tr>
      <w:tr w:rsidR="002338F3" w:rsidRPr="00FD78E8" w:rsidTr="002338F3">
        <w:trPr>
          <w:gridAfter w:val="1"/>
          <w:wAfter w:w="256" w:type="dxa"/>
          <w:trHeight w:val="288"/>
        </w:trPr>
        <w:tc>
          <w:tcPr>
            <w:tcW w:w="2567"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HEU-SOL-THERM-042</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hst042-2</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ORNL_C2</w:t>
            </w:r>
          </w:p>
        </w:tc>
        <w:tc>
          <w:tcPr>
            <w:tcW w:w="2431" w:type="dxa"/>
            <w:tcBorders>
              <w:top w:val="nil"/>
              <w:left w:val="nil"/>
              <w:bottom w:val="nil"/>
              <w:right w:val="nil"/>
            </w:tcBorders>
          </w:tcPr>
          <w:p w:rsidR="002338F3" w:rsidRPr="00FD78E8" w:rsidRDefault="002338F3" w:rsidP="00FD78E8">
            <w:pPr>
              <w:spacing w:after="0" w:line="240" w:lineRule="auto"/>
              <w:rPr>
                <w:rFonts w:ascii="Calibri" w:eastAsia="Times New Roman" w:hAnsi="Calibri" w:cs="Times New Roman"/>
                <w:color w:val="000000"/>
                <w:lang w:eastAsia="en-GB"/>
              </w:rPr>
            </w:pPr>
          </w:p>
        </w:tc>
      </w:tr>
      <w:tr w:rsidR="002338F3" w:rsidRPr="00FD78E8" w:rsidTr="002338F3">
        <w:trPr>
          <w:gridAfter w:val="1"/>
          <w:wAfter w:w="256" w:type="dxa"/>
          <w:trHeight w:val="288"/>
        </w:trPr>
        <w:tc>
          <w:tcPr>
            <w:tcW w:w="2567"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HEU-SOL-THERM-042</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hst042-3</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ORNL_C3</w:t>
            </w:r>
          </w:p>
        </w:tc>
        <w:tc>
          <w:tcPr>
            <w:tcW w:w="2431" w:type="dxa"/>
            <w:tcBorders>
              <w:top w:val="nil"/>
              <w:left w:val="nil"/>
              <w:bottom w:val="nil"/>
              <w:right w:val="nil"/>
            </w:tcBorders>
          </w:tcPr>
          <w:p w:rsidR="002338F3" w:rsidRPr="00FD78E8" w:rsidRDefault="002338F3" w:rsidP="00FD78E8">
            <w:pPr>
              <w:spacing w:after="0" w:line="240" w:lineRule="auto"/>
              <w:rPr>
                <w:rFonts w:ascii="Calibri" w:eastAsia="Times New Roman" w:hAnsi="Calibri" w:cs="Times New Roman"/>
                <w:color w:val="000000"/>
                <w:lang w:eastAsia="en-GB"/>
              </w:rPr>
            </w:pPr>
          </w:p>
        </w:tc>
      </w:tr>
      <w:tr w:rsidR="002338F3" w:rsidRPr="00FD78E8" w:rsidTr="002338F3">
        <w:trPr>
          <w:gridAfter w:val="1"/>
          <w:wAfter w:w="256" w:type="dxa"/>
          <w:trHeight w:val="288"/>
        </w:trPr>
        <w:tc>
          <w:tcPr>
            <w:tcW w:w="2567"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HEU-SOL-THERM-042</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hst042-4</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ORNL_C4</w:t>
            </w:r>
          </w:p>
        </w:tc>
        <w:tc>
          <w:tcPr>
            <w:tcW w:w="2431" w:type="dxa"/>
            <w:tcBorders>
              <w:top w:val="nil"/>
              <w:left w:val="nil"/>
              <w:bottom w:val="nil"/>
              <w:right w:val="nil"/>
            </w:tcBorders>
          </w:tcPr>
          <w:p w:rsidR="002338F3" w:rsidRPr="00FD78E8" w:rsidRDefault="002338F3" w:rsidP="00FD78E8">
            <w:pPr>
              <w:spacing w:after="0" w:line="240" w:lineRule="auto"/>
              <w:rPr>
                <w:rFonts w:ascii="Calibri" w:eastAsia="Times New Roman" w:hAnsi="Calibri" w:cs="Times New Roman"/>
                <w:color w:val="000000"/>
                <w:lang w:eastAsia="en-GB"/>
              </w:rPr>
            </w:pPr>
          </w:p>
        </w:tc>
      </w:tr>
      <w:tr w:rsidR="002338F3" w:rsidRPr="00FD78E8" w:rsidTr="002338F3">
        <w:trPr>
          <w:gridAfter w:val="1"/>
          <w:wAfter w:w="256" w:type="dxa"/>
          <w:trHeight w:val="288"/>
        </w:trPr>
        <w:tc>
          <w:tcPr>
            <w:tcW w:w="2567"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HEU-SOL-THERM-042</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hst042-5</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ORNL_C5</w:t>
            </w:r>
          </w:p>
        </w:tc>
        <w:tc>
          <w:tcPr>
            <w:tcW w:w="2431" w:type="dxa"/>
            <w:tcBorders>
              <w:top w:val="nil"/>
              <w:left w:val="nil"/>
              <w:bottom w:val="nil"/>
              <w:right w:val="nil"/>
            </w:tcBorders>
          </w:tcPr>
          <w:p w:rsidR="002338F3" w:rsidRPr="00FD78E8" w:rsidRDefault="002338F3" w:rsidP="00FD78E8">
            <w:pPr>
              <w:spacing w:after="0" w:line="240" w:lineRule="auto"/>
              <w:rPr>
                <w:rFonts w:ascii="Calibri" w:eastAsia="Times New Roman" w:hAnsi="Calibri" w:cs="Times New Roman"/>
                <w:color w:val="000000"/>
                <w:lang w:eastAsia="en-GB"/>
              </w:rPr>
            </w:pPr>
          </w:p>
        </w:tc>
      </w:tr>
      <w:tr w:rsidR="002338F3" w:rsidRPr="00FD78E8" w:rsidTr="002338F3">
        <w:trPr>
          <w:gridAfter w:val="1"/>
          <w:wAfter w:w="256" w:type="dxa"/>
          <w:trHeight w:val="288"/>
        </w:trPr>
        <w:tc>
          <w:tcPr>
            <w:tcW w:w="2567"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HEU-SOL-THERM-042</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hst042-6</w:t>
            </w:r>
          </w:p>
        </w:tc>
        <w:tc>
          <w:tcPr>
            <w:tcW w:w="1559" w:type="dxa"/>
            <w:tcBorders>
              <w:top w:val="nil"/>
              <w:left w:val="nil"/>
              <w:bottom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ORNL_C6</w:t>
            </w:r>
          </w:p>
        </w:tc>
        <w:tc>
          <w:tcPr>
            <w:tcW w:w="2431" w:type="dxa"/>
            <w:tcBorders>
              <w:top w:val="nil"/>
              <w:left w:val="nil"/>
              <w:bottom w:val="nil"/>
              <w:right w:val="nil"/>
            </w:tcBorders>
          </w:tcPr>
          <w:p w:rsidR="002338F3" w:rsidRPr="00FD78E8" w:rsidRDefault="002338F3" w:rsidP="00FD78E8">
            <w:pPr>
              <w:spacing w:after="0" w:line="240" w:lineRule="auto"/>
              <w:rPr>
                <w:rFonts w:ascii="Calibri" w:eastAsia="Times New Roman" w:hAnsi="Calibri" w:cs="Times New Roman"/>
                <w:color w:val="000000"/>
                <w:lang w:eastAsia="en-GB"/>
              </w:rPr>
            </w:pPr>
          </w:p>
        </w:tc>
      </w:tr>
      <w:tr w:rsidR="002338F3" w:rsidRPr="00FD78E8" w:rsidTr="002338F3">
        <w:trPr>
          <w:gridAfter w:val="1"/>
          <w:wAfter w:w="256" w:type="dxa"/>
          <w:trHeight w:val="288"/>
        </w:trPr>
        <w:tc>
          <w:tcPr>
            <w:tcW w:w="2567" w:type="dxa"/>
            <w:tcBorders>
              <w:top w:val="nil"/>
              <w:left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HEU-SOL-THERM-042</w:t>
            </w:r>
          </w:p>
        </w:tc>
        <w:tc>
          <w:tcPr>
            <w:tcW w:w="1559" w:type="dxa"/>
            <w:tcBorders>
              <w:top w:val="nil"/>
              <w:left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hst042-7</w:t>
            </w:r>
          </w:p>
        </w:tc>
        <w:tc>
          <w:tcPr>
            <w:tcW w:w="1559" w:type="dxa"/>
            <w:tcBorders>
              <w:top w:val="nil"/>
              <w:left w:val="nil"/>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ORNL_C7</w:t>
            </w:r>
          </w:p>
        </w:tc>
        <w:tc>
          <w:tcPr>
            <w:tcW w:w="2431" w:type="dxa"/>
            <w:tcBorders>
              <w:top w:val="nil"/>
              <w:left w:val="nil"/>
              <w:right w:val="nil"/>
            </w:tcBorders>
          </w:tcPr>
          <w:p w:rsidR="002338F3" w:rsidRPr="00FD78E8" w:rsidRDefault="002338F3" w:rsidP="00FD78E8">
            <w:pPr>
              <w:spacing w:after="0" w:line="240" w:lineRule="auto"/>
              <w:rPr>
                <w:rFonts w:ascii="Calibri" w:eastAsia="Times New Roman" w:hAnsi="Calibri" w:cs="Times New Roman"/>
                <w:color w:val="000000"/>
                <w:lang w:eastAsia="en-GB"/>
              </w:rPr>
            </w:pPr>
          </w:p>
        </w:tc>
      </w:tr>
      <w:tr w:rsidR="002338F3" w:rsidRPr="00FD78E8" w:rsidTr="002338F3">
        <w:trPr>
          <w:gridAfter w:val="1"/>
          <w:wAfter w:w="256" w:type="dxa"/>
          <w:trHeight w:val="288"/>
        </w:trPr>
        <w:tc>
          <w:tcPr>
            <w:tcW w:w="2567" w:type="dxa"/>
            <w:tcBorders>
              <w:top w:val="nil"/>
              <w:left w:val="nil"/>
              <w:bottom w:val="single" w:sz="4" w:space="0" w:color="auto"/>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HEU-SOL-THERM-042</w:t>
            </w:r>
          </w:p>
        </w:tc>
        <w:tc>
          <w:tcPr>
            <w:tcW w:w="1559" w:type="dxa"/>
            <w:tcBorders>
              <w:top w:val="nil"/>
              <w:left w:val="nil"/>
              <w:bottom w:val="single" w:sz="4" w:space="0" w:color="auto"/>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hst042-8</w:t>
            </w:r>
          </w:p>
        </w:tc>
        <w:tc>
          <w:tcPr>
            <w:tcW w:w="1559" w:type="dxa"/>
            <w:tcBorders>
              <w:top w:val="nil"/>
              <w:left w:val="nil"/>
              <w:bottom w:val="single" w:sz="4" w:space="0" w:color="auto"/>
              <w:right w:val="nil"/>
            </w:tcBorders>
            <w:shd w:val="clear" w:color="auto" w:fill="auto"/>
            <w:noWrap/>
            <w:vAlign w:val="bottom"/>
            <w:hideMark/>
          </w:tcPr>
          <w:p w:rsidR="002338F3" w:rsidRPr="00FD78E8" w:rsidRDefault="002338F3" w:rsidP="00FD78E8">
            <w:pPr>
              <w:spacing w:after="0" w:line="240" w:lineRule="auto"/>
              <w:rPr>
                <w:rFonts w:ascii="Calibri" w:eastAsia="Times New Roman" w:hAnsi="Calibri" w:cs="Times New Roman"/>
                <w:color w:val="000000"/>
                <w:lang w:eastAsia="en-GB"/>
              </w:rPr>
            </w:pPr>
            <w:r w:rsidRPr="00FD78E8">
              <w:rPr>
                <w:rFonts w:ascii="Calibri" w:eastAsia="Times New Roman" w:hAnsi="Calibri" w:cs="Times New Roman"/>
                <w:color w:val="000000"/>
                <w:lang w:eastAsia="en-GB"/>
              </w:rPr>
              <w:t>ORNL_C8</w:t>
            </w:r>
          </w:p>
        </w:tc>
        <w:tc>
          <w:tcPr>
            <w:tcW w:w="2431" w:type="dxa"/>
            <w:tcBorders>
              <w:top w:val="nil"/>
              <w:left w:val="nil"/>
              <w:bottom w:val="single" w:sz="4" w:space="0" w:color="auto"/>
              <w:right w:val="nil"/>
            </w:tcBorders>
          </w:tcPr>
          <w:p w:rsidR="002338F3" w:rsidRPr="00FD78E8" w:rsidRDefault="002338F3" w:rsidP="00FD78E8">
            <w:pPr>
              <w:spacing w:after="0" w:line="240" w:lineRule="auto"/>
              <w:rPr>
                <w:rFonts w:ascii="Calibri" w:eastAsia="Times New Roman" w:hAnsi="Calibri" w:cs="Times New Roman"/>
                <w:color w:val="000000"/>
                <w:lang w:eastAsia="en-GB"/>
              </w:rPr>
            </w:pPr>
          </w:p>
        </w:tc>
      </w:tr>
    </w:tbl>
    <w:p w:rsidR="00FD78E8" w:rsidRDefault="00FD78E8" w:rsidP="00FD78E8">
      <w:pPr>
        <w:jc w:val="center"/>
      </w:pPr>
    </w:p>
    <w:p w:rsidR="00833E87" w:rsidRDefault="0034396B" w:rsidP="005A2ACC">
      <w:pPr>
        <w:jc w:val="both"/>
      </w:pPr>
      <w:r>
        <w:rPr>
          <w:noProof/>
          <w:lang w:eastAsia="en-GB"/>
        </w:rPr>
        <w:lastRenderedPageBreak/>
        <w:drawing>
          <wp:inline distT="0" distB="0" distL="0" distR="0" wp14:anchorId="64432B0B" wp14:editId="7D088F6B">
            <wp:extent cx="5731510" cy="4047573"/>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0" cy="4047573"/>
                    </a:xfrm>
                    <a:prstGeom prst="rect">
                      <a:avLst/>
                    </a:prstGeom>
                  </pic:spPr>
                </pic:pic>
              </a:graphicData>
            </a:graphic>
          </wp:inline>
        </w:drawing>
      </w:r>
    </w:p>
    <w:p w:rsidR="00833E87" w:rsidRDefault="0034396B" w:rsidP="005A2ACC">
      <w:pPr>
        <w:jc w:val="both"/>
      </w:pPr>
      <w:r>
        <w:rPr>
          <w:noProof/>
          <w:lang w:eastAsia="en-GB"/>
        </w:rPr>
        <w:drawing>
          <wp:inline distT="0" distB="0" distL="0" distR="0" wp14:anchorId="5D2B296F" wp14:editId="71F18790">
            <wp:extent cx="5731510" cy="4047573"/>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4047573"/>
                    </a:xfrm>
                    <a:prstGeom prst="rect">
                      <a:avLst/>
                    </a:prstGeom>
                  </pic:spPr>
                </pic:pic>
              </a:graphicData>
            </a:graphic>
          </wp:inline>
        </w:drawing>
      </w:r>
      <w:r w:rsidR="00833E87">
        <w:t>Figure 2: Benchmark results with different fission spectra of 235U.</w:t>
      </w:r>
    </w:p>
    <w:p w:rsidR="002338F3" w:rsidRDefault="002338F3">
      <w:r>
        <w:br w:type="page"/>
      </w:r>
    </w:p>
    <w:p w:rsidR="006F28E6" w:rsidRDefault="002338F3" w:rsidP="005A2ACC">
      <w:pPr>
        <w:jc w:val="both"/>
      </w:pPr>
      <w:r>
        <w:lastRenderedPageBreak/>
        <w:t>Generally</w:t>
      </w:r>
      <w:r w:rsidR="002A7D90">
        <w:t>,</w:t>
      </w:r>
      <w:r>
        <w:t xml:space="preserve"> </w:t>
      </w:r>
      <w:r w:rsidR="002A7D90">
        <w:t xml:space="preserve">the spectra with a lower average energy increase the reactivity. The average energy of 2.03 MeV in the ENDF/B-VII.1 appears to be a compromise that works well for the majority of the benchmarks. However, several authors argue (Pronyaev, </w:t>
      </w:r>
      <w:proofErr w:type="spellStart"/>
      <w:r w:rsidR="002A7D90">
        <w:t>Kornilov</w:t>
      </w:r>
      <w:proofErr w:type="spellEnd"/>
      <w:r w:rsidR="002A7D90">
        <w:t xml:space="preserve">) that the ENDF/B-VII.1 spectrum does not represent well the differential measurements of the spectra. Indeed, normalisation of the measured spectra is problematic because the spectra cannot be measured in the low and the high energy tails, but there are important differences in shape even in the energy range where abundant data are available. The evaluations, which are primarily based on measured differential data, are those by </w:t>
      </w:r>
      <w:proofErr w:type="spellStart"/>
      <w:r w:rsidR="002A7D90">
        <w:t>Kornilov</w:t>
      </w:r>
      <w:proofErr w:type="spellEnd"/>
      <w:r w:rsidR="002A7D90">
        <w:t xml:space="preserve"> and by Pronyaev, but overall they cause a severe over-prediction of reactivity. The evaluation by Talou is based on the Los Alamos model, but tries to follow the data as much as possible.</w:t>
      </w:r>
      <w:r w:rsidR="00EA4D40">
        <w:t xml:space="preserve"> The results with the spectra by Talou are in between the Pronyaev and the original ENDF/B</w:t>
      </w:r>
      <w:r w:rsidR="00EA4D40">
        <w:noBreakHyphen/>
        <w:t xml:space="preserve">VII.1 results. The results of </w:t>
      </w:r>
      <w:proofErr w:type="spellStart"/>
      <w:r w:rsidR="00EA4D40">
        <w:t>Morillon</w:t>
      </w:r>
      <w:proofErr w:type="spellEnd"/>
      <w:r w:rsidR="00EA4D40">
        <w:t xml:space="preserve"> lie </w:t>
      </w:r>
      <w:r w:rsidR="00251867">
        <w:t>v</w:t>
      </w:r>
      <w:r w:rsidR="00EA4D40">
        <w:t>ery close to the ENDF/B</w:t>
      </w:r>
      <w:r w:rsidR="00EA4D40">
        <w:noBreakHyphen/>
        <w:t xml:space="preserve">VII.1 results. </w:t>
      </w:r>
      <w:r w:rsidR="00251867">
        <w:t>The results by Shu, which have the highest average neutron energy in the fission spectrum, are the lowest</w:t>
      </w:r>
      <w:r w:rsidR="0034396B">
        <w:t xml:space="preserve"> and the results by Vogt, which have the lowest average neutron </w:t>
      </w:r>
      <w:proofErr w:type="gramStart"/>
      <w:r w:rsidR="0034396B">
        <w:t>energy</w:t>
      </w:r>
      <w:proofErr w:type="gramEnd"/>
      <w:r w:rsidR="0034396B">
        <w:t xml:space="preserve"> are by far the highest</w:t>
      </w:r>
    </w:p>
    <w:p w:rsidR="00833E87" w:rsidRDefault="006F28E6" w:rsidP="005A2ACC">
      <w:pPr>
        <w:jc w:val="both"/>
      </w:pPr>
      <w:r>
        <w:t>The benchmark analysis shows that the Oak Ridge spherical solution assemblies and the Rockwell assemblies (</w:t>
      </w:r>
      <w:r w:rsidRPr="00FD78E8">
        <w:rPr>
          <w:rFonts w:ascii="Calibri" w:eastAsia="Times New Roman" w:hAnsi="Calibri" w:cs="Times New Roman"/>
          <w:color w:val="000000"/>
          <w:lang w:eastAsia="en-GB"/>
        </w:rPr>
        <w:t>HEU-SOL-THERM-009</w:t>
      </w:r>
      <w:r>
        <w:rPr>
          <w:rFonts w:ascii="Calibri" w:eastAsia="Times New Roman" w:hAnsi="Calibri" w:cs="Times New Roman"/>
          <w:color w:val="000000"/>
          <w:lang w:eastAsia="en-GB"/>
        </w:rPr>
        <w:t xml:space="preserve"> and HEU-SOL-THERM-001</w:t>
      </w:r>
      <w:r>
        <w:t>, respectively) are the most sensitive to the average spectrum energy</w:t>
      </w:r>
      <w:r w:rsidR="00251867">
        <w:t>.</w:t>
      </w:r>
      <w:r>
        <w:t xml:space="preserve"> These are the high-leakage assemblies. However, in the final analysis where small details may be important, all relevant benchmarks must be included.</w:t>
      </w:r>
    </w:p>
    <w:p w:rsidR="006F28E6" w:rsidRDefault="006F28E6" w:rsidP="006F28E6">
      <w:pPr>
        <w:pStyle w:val="Heading2"/>
      </w:pPr>
      <w:r>
        <w:t>Average number of neutrons per fission</w:t>
      </w:r>
      <w:r w:rsidR="00034108">
        <w:t xml:space="preserve"> (nu-bar)</w:t>
      </w:r>
    </w:p>
    <w:p w:rsidR="006F28E6" w:rsidRDefault="006F28E6" w:rsidP="005A2ACC">
      <w:pPr>
        <w:jc w:val="both"/>
      </w:pPr>
      <w:r>
        <w:t>A global effect that can compensate the increase of reactivity is the number of neutrons per fission (nu-bar). An analysis of the historic evolution of the measured and recommended values was made.</w:t>
      </w:r>
      <w:r w:rsidR="00AB0DB0">
        <w:t xml:space="preserve"> Selected data sets of energy-dependent nu-bar values are shown in Figure 3. Selected average measured values are compared to the evaluations by different authors in Figure 4. It seems that there is a distinct bias towards higher nu-bar values in the recommended data, which might be driven by earlier benchmark results. The average of the experimental data is very close to the recommended value by </w:t>
      </w:r>
      <w:proofErr w:type="spellStart"/>
      <w:r w:rsidR="00AB0DB0">
        <w:t>Gwin</w:t>
      </w:r>
      <w:proofErr w:type="spellEnd"/>
      <w:r w:rsidR="00AB0DB0">
        <w:t xml:space="preserve"> and is 2.4275</w:t>
      </w:r>
      <w:r w:rsidR="00034108">
        <w:t xml:space="preserve"> (current B-VII value is 2.4367, IAEA STD value is 2.4355+/-0.0023)</w:t>
      </w:r>
      <w:r w:rsidR="00AB0DB0">
        <w:t xml:space="preserve">. Substitution of this value </w:t>
      </w:r>
      <w:r w:rsidR="00034108">
        <w:t xml:space="preserve">(2.4367 goes to 2.4275) </w:t>
      </w:r>
      <w:r w:rsidR="00AB0DB0">
        <w:t>into the data file containing the fission neutron spectra by Talou almost completely compensates the bias introduced by the lower average neutron energy. The results are shown in Figure 5.</w:t>
      </w:r>
    </w:p>
    <w:p w:rsidR="00AA41AF" w:rsidRDefault="00AA41AF" w:rsidP="005A2ACC">
      <w:pPr>
        <w:jc w:val="both"/>
      </w:pPr>
      <w:r>
        <w:t>Measured data for the nu-bar indicate distinct structure</w:t>
      </w:r>
      <w:r w:rsidR="00034108">
        <w:t xml:space="preserve"> (in both Gwin84 and Reed72 measurements)</w:t>
      </w:r>
      <w:r>
        <w:t>, which roughly corresponds to the resonances of 235U near 0.36 eV, 1</w:t>
      </w:r>
      <w:r w:rsidR="001B081D">
        <w:t>.</w:t>
      </w:r>
      <w:r>
        <w:t xml:space="preserve">1 eV </w:t>
      </w:r>
      <w:r w:rsidR="001B081D">
        <w:t>and a group of resonances below 10</w:t>
      </w:r>
      <w:r>
        <w:t xml:space="preserve"> eV</w:t>
      </w:r>
      <w:r w:rsidR="001B081D">
        <w:t>.</w:t>
      </w:r>
      <w:r w:rsidR="00C23B24">
        <w:t xml:space="preserve"> For the purpose of sensitivity study the structure similar to the one observed in the measured data was introduced into the file </w:t>
      </w:r>
      <w:r w:rsidR="00034108">
        <w:t xml:space="preserve">containing </w:t>
      </w:r>
      <w:r w:rsidR="00C23B24">
        <w:t>Talou</w:t>
      </w:r>
      <w:r w:rsidR="00034108">
        <w:t xml:space="preserve"> evaluated PFNS</w:t>
      </w:r>
      <w:r w:rsidR="00C23B24">
        <w:t xml:space="preserve">. The nominal case is the one with a constant nu-bar taken from the recommendation by </w:t>
      </w:r>
      <w:proofErr w:type="spellStart"/>
      <w:r w:rsidR="00C23B24">
        <w:t>Gwin</w:t>
      </w:r>
      <w:proofErr w:type="spellEnd"/>
      <w:r w:rsidR="00C23B24">
        <w:t>. The dips at around 0.4 eV, 2 eV and 10 eV were introduced in succession, labelled with suffixes n1</w:t>
      </w:r>
      <w:proofErr w:type="gramStart"/>
      <w:r w:rsidR="00C23B24">
        <w:t>,n2</w:t>
      </w:r>
      <w:proofErr w:type="gramEnd"/>
      <w:r w:rsidR="00C23B24">
        <w:t>, and n3, respectively. Benchmark calculations were repeated for each case. Very little sensitivity to the structure in nu-bar was seen from the tests. Only the ORNL spherical solution assemblies and the Rockwell assemblies showed some sensitivity, generally below 100 </w:t>
      </w:r>
      <w:proofErr w:type="spellStart"/>
      <w:r w:rsidR="00C23B24">
        <w:t>pcm</w:t>
      </w:r>
      <w:proofErr w:type="spellEnd"/>
      <w:r w:rsidR="00C23B24">
        <w:t>. The results can be seen in Figure 8.</w:t>
      </w:r>
    </w:p>
    <w:p w:rsidR="00AB0DB0" w:rsidRDefault="004273A3" w:rsidP="005A2ACC">
      <w:pPr>
        <w:jc w:val="both"/>
      </w:pPr>
      <w:r>
        <w:rPr>
          <w:noProof/>
          <w:lang w:eastAsia="en-GB"/>
        </w:rPr>
        <w:lastRenderedPageBreak/>
        <w:drawing>
          <wp:inline distT="0" distB="0" distL="0" distR="0">
            <wp:extent cx="5729629" cy="3710940"/>
            <wp:effectExtent l="0" t="0" r="4445"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712158"/>
                    </a:xfrm>
                    <a:prstGeom prst="rect">
                      <a:avLst/>
                    </a:prstGeom>
                    <a:noFill/>
                    <a:ln>
                      <a:noFill/>
                    </a:ln>
                  </pic:spPr>
                </pic:pic>
              </a:graphicData>
            </a:graphic>
          </wp:inline>
        </w:drawing>
      </w:r>
      <w:r w:rsidR="00AB0DB0">
        <w:t>Figure 3: Comparison of energy-dependent measured values of nu-bar and some “Standards” and their evolution with time.</w:t>
      </w:r>
    </w:p>
    <w:p w:rsidR="00E95333" w:rsidRDefault="00E95333" w:rsidP="005A2ACC">
      <w:pPr>
        <w:jc w:val="both"/>
      </w:pPr>
    </w:p>
    <w:p w:rsidR="00AB0DB0" w:rsidRDefault="004273A3" w:rsidP="005A2ACC">
      <w:pPr>
        <w:jc w:val="both"/>
      </w:pPr>
      <w:r>
        <w:rPr>
          <w:noProof/>
          <w:lang w:eastAsia="en-GB"/>
        </w:rPr>
        <w:drawing>
          <wp:inline distT="0" distB="0" distL="0" distR="0">
            <wp:extent cx="5733407" cy="362712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625920"/>
                    </a:xfrm>
                    <a:prstGeom prst="rect">
                      <a:avLst/>
                    </a:prstGeom>
                    <a:noFill/>
                    <a:ln>
                      <a:noFill/>
                    </a:ln>
                  </pic:spPr>
                </pic:pic>
              </a:graphicData>
            </a:graphic>
          </wp:inline>
        </w:drawing>
      </w:r>
      <w:r w:rsidR="00AB0DB0">
        <w:t>Figure 4:</w:t>
      </w:r>
      <w:r w:rsidR="00317D52">
        <w:t xml:space="preserve"> Selected measured average values of nu-bar compared to the evaluations by different authors.</w:t>
      </w:r>
    </w:p>
    <w:p w:rsidR="00317D52" w:rsidRDefault="00317D52" w:rsidP="005A2ACC">
      <w:pPr>
        <w:jc w:val="both"/>
      </w:pPr>
    </w:p>
    <w:p w:rsidR="00317D52" w:rsidRDefault="00317D52" w:rsidP="005A2ACC">
      <w:pPr>
        <w:jc w:val="both"/>
      </w:pPr>
      <w:r>
        <w:rPr>
          <w:noProof/>
          <w:lang w:eastAsia="en-GB"/>
        </w:rPr>
        <w:drawing>
          <wp:inline distT="0" distB="0" distL="0" distR="0" wp14:anchorId="095245B6" wp14:editId="72C90823">
            <wp:extent cx="5729594" cy="368046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3681691"/>
                    </a:xfrm>
                    <a:prstGeom prst="rect">
                      <a:avLst/>
                    </a:prstGeom>
                  </pic:spPr>
                </pic:pic>
              </a:graphicData>
            </a:graphic>
          </wp:inline>
        </w:drawing>
      </w:r>
      <w:r>
        <w:t>Figure 5: Comparison of benchmark results with the original ENDF/B-VII.1 data and the fission spectra by Talou with reduced thermal nu-bar.</w:t>
      </w:r>
    </w:p>
    <w:p w:rsidR="00C23B24" w:rsidRDefault="00C23B24" w:rsidP="005A2ACC">
      <w:pPr>
        <w:jc w:val="both"/>
      </w:pPr>
      <w:r>
        <w:rPr>
          <w:noProof/>
          <w:lang w:eastAsia="en-GB"/>
        </w:rPr>
        <w:drawing>
          <wp:inline distT="0" distB="0" distL="0" distR="0" wp14:anchorId="5B112CFD" wp14:editId="09194831">
            <wp:extent cx="5729594" cy="364236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3643578"/>
                    </a:xfrm>
                    <a:prstGeom prst="rect">
                      <a:avLst/>
                    </a:prstGeom>
                  </pic:spPr>
                </pic:pic>
              </a:graphicData>
            </a:graphic>
          </wp:inline>
        </w:drawing>
      </w:r>
    </w:p>
    <w:p w:rsidR="00C23B24" w:rsidRDefault="00034108" w:rsidP="005A2ACC">
      <w:pPr>
        <w:jc w:val="both"/>
      </w:pPr>
      <w:r>
        <w:t xml:space="preserve">               </w:t>
      </w:r>
      <w:r w:rsidR="00C23B24">
        <w:t>Figure 7: The nu-bar modification below 10 eV for the sensitivity study.</w:t>
      </w:r>
    </w:p>
    <w:p w:rsidR="00C23B24" w:rsidRDefault="00FE0E73" w:rsidP="005A2ACC">
      <w:pPr>
        <w:jc w:val="both"/>
      </w:pPr>
      <w:r>
        <w:rPr>
          <w:noProof/>
          <w:lang w:eastAsia="en-GB"/>
        </w:rPr>
        <w:lastRenderedPageBreak/>
        <w:drawing>
          <wp:inline distT="0" distB="0" distL="0" distR="0" wp14:anchorId="219717FC" wp14:editId="0EE55F24">
            <wp:extent cx="5731510" cy="4047573"/>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1510" cy="4047573"/>
                    </a:xfrm>
                    <a:prstGeom prst="rect">
                      <a:avLst/>
                    </a:prstGeom>
                  </pic:spPr>
                </pic:pic>
              </a:graphicData>
            </a:graphic>
          </wp:inline>
        </w:drawing>
      </w:r>
      <w:r w:rsidR="00C23B24">
        <w:t>Figure 8: Sensitivity of the multiplication factor on the structure in nu-bar at low energies.</w:t>
      </w:r>
    </w:p>
    <w:p w:rsidR="00C23B24" w:rsidRDefault="00C23B24" w:rsidP="00401A3A">
      <w:pPr>
        <w:pStyle w:val="Heading1"/>
      </w:pPr>
      <w:r>
        <w:t>Conclusions</w:t>
      </w:r>
    </w:p>
    <w:p w:rsidR="00C23B24" w:rsidRDefault="00C23B24" w:rsidP="005A2ACC">
      <w:pPr>
        <w:jc w:val="both"/>
      </w:pPr>
      <w:r>
        <w:t>The impact of the prompt neutron fission spectra evaluated by different authors on criticality benchmarks was assessed.</w:t>
      </w:r>
      <w:r w:rsidR="00403A8B">
        <w:t xml:space="preserve"> Generally it was found that:</w:t>
      </w:r>
    </w:p>
    <w:p w:rsidR="00403A8B" w:rsidRDefault="00403A8B" w:rsidP="00403A8B">
      <w:pPr>
        <w:pStyle w:val="ListParagraph"/>
        <w:numPr>
          <w:ilvl w:val="0"/>
          <w:numId w:val="3"/>
        </w:numPr>
        <w:jc w:val="both"/>
      </w:pPr>
      <w:r>
        <w:t>High leakage assemblies of highly enriched 235U solutions are most sensitive to the average neutron temperature of the prompt fission spectrum.</w:t>
      </w:r>
    </w:p>
    <w:p w:rsidR="00403A8B" w:rsidRDefault="00403A8B" w:rsidP="00403A8B">
      <w:pPr>
        <w:pStyle w:val="ListParagraph"/>
        <w:numPr>
          <w:ilvl w:val="0"/>
          <w:numId w:val="3"/>
        </w:numPr>
        <w:jc w:val="both"/>
      </w:pPr>
      <w:r>
        <w:t>The shape of the spectrum that represents well the experimental data is softer, but results in a strong overestimation of reactivity.</w:t>
      </w:r>
    </w:p>
    <w:p w:rsidR="00403A8B" w:rsidRDefault="00403A8B" w:rsidP="00403A8B">
      <w:pPr>
        <w:pStyle w:val="ListParagraph"/>
        <w:numPr>
          <w:ilvl w:val="0"/>
          <w:numId w:val="3"/>
        </w:numPr>
        <w:jc w:val="both"/>
      </w:pPr>
      <w:r>
        <w:t>An analysis of the historical evolution of the recommended values of thermal neutron nu-bar indicates a bias towards higher values compared to measurements.</w:t>
      </w:r>
    </w:p>
    <w:p w:rsidR="00403A8B" w:rsidRDefault="00403A8B" w:rsidP="00403A8B">
      <w:pPr>
        <w:pStyle w:val="ListParagraph"/>
        <w:numPr>
          <w:ilvl w:val="0"/>
          <w:numId w:val="3"/>
        </w:numPr>
        <w:jc w:val="both"/>
      </w:pPr>
      <w:r>
        <w:t>Restoring nu-bar to the best measured values generally compensates the increase in reactivity caused by the softer neutron spectrum.</w:t>
      </w:r>
    </w:p>
    <w:p w:rsidR="00403A8B" w:rsidRDefault="00403A8B" w:rsidP="00403A8B">
      <w:pPr>
        <w:pStyle w:val="ListParagraph"/>
        <w:numPr>
          <w:ilvl w:val="0"/>
          <w:numId w:val="3"/>
        </w:numPr>
        <w:jc w:val="both"/>
      </w:pPr>
      <w:r>
        <w:t>The structure in nu-bar that is evident in the experimental data has a very modest impact on the solution benchmark assemblies.</w:t>
      </w:r>
      <w:r w:rsidR="00034108">
        <w:t xml:space="preserve"> However, benchmarks with harder spectra may be sensitive to these resonances.</w:t>
      </w:r>
    </w:p>
    <w:sectPr w:rsidR="00403A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8787D"/>
    <w:multiLevelType w:val="hybridMultilevel"/>
    <w:tmpl w:val="30826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F4B1500"/>
    <w:multiLevelType w:val="hybridMultilevel"/>
    <w:tmpl w:val="ABD21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C084DF2"/>
    <w:multiLevelType w:val="hybridMultilevel"/>
    <w:tmpl w:val="AB0091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2D9"/>
    <w:rsid w:val="00013BB2"/>
    <w:rsid w:val="00034108"/>
    <w:rsid w:val="00135460"/>
    <w:rsid w:val="00186234"/>
    <w:rsid w:val="001B081D"/>
    <w:rsid w:val="00226F82"/>
    <w:rsid w:val="002338F3"/>
    <w:rsid w:val="00243D93"/>
    <w:rsid w:val="00251867"/>
    <w:rsid w:val="002A7D90"/>
    <w:rsid w:val="002D291C"/>
    <w:rsid w:val="003122D9"/>
    <w:rsid w:val="00317D52"/>
    <w:rsid w:val="0034396B"/>
    <w:rsid w:val="00401A3A"/>
    <w:rsid w:val="00403A8B"/>
    <w:rsid w:val="004273A3"/>
    <w:rsid w:val="005A2ACC"/>
    <w:rsid w:val="006F28E6"/>
    <w:rsid w:val="007D2AAF"/>
    <w:rsid w:val="00833E87"/>
    <w:rsid w:val="008A0BF5"/>
    <w:rsid w:val="00AA41AF"/>
    <w:rsid w:val="00AB0DB0"/>
    <w:rsid w:val="00C23B24"/>
    <w:rsid w:val="00D4687A"/>
    <w:rsid w:val="00E95333"/>
    <w:rsid w:val="00EA4D40"/>
    <w:rsid w:val="00EE29EA"/>
    <w:rsid w:val="00FD78E8"/>
    <w:rsid w:val="00FE0E73"/>
    <w:rsid w:val="00FF2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2A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28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ACC"/>
    <w:pPr>
      <w:ind w:left="720"/>
      <w:contextualSpacing/>
    </w:pPr>
  </w:style>
  <w:style w:type="paragraph" w:styleId="BalloonText">
    <w:name w:val="Balloon Text"/>
    <w:basedOn w:val="Normal"/>
    <w:link w:val="BalloonTextChar"/>
    <w:uiPriority w:val="99"/>
    <w:semiHidden/>
    <w:unhideWhenUsed/>
    <w:rsid w:val="005A2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ACC"/>
    <w:rPr>
      <w:rFonts w:ascii="Tahoma" w:hAnsi="Tahoma" w:cs="Tahoma"/>
      <w:sz w:val="16"/>
      <w:szCs w:val="16"/>
    </w:rPr>
  </w:style>
  <w:style w:type="paragraph" w:styleId="Title">
    <w:name w:val="Title"/>
    <w:basedOn w:val="Normal"/>
    <w:next w:val="Normal"/>
    <w:link w:val="TitleChar"/>
    <w:uiPriority w:val="10"/>
    <w:qFormat/>
    <w:rsid w:val="008A0B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0BF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D2AA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F28E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2A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28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ACC"/>
    <w:pPr>
      <w:ind w:left="720"/>
      <w:contextualSpacing/>
    </w:pPr>
  </w:style>
  <w:style w:type="paragraph" w:styleId="BalloonText">
    <w:name w:val="Balloon Text"/>
    <w:basedOn w:val="Normal"/>
    <w:link w:val="BalloonTextChar"/>
    <w:uiPriority w:val="99"/>
    <w:semiHidden/>
    <w:unhideWhenUsed/>
    <w:rsid w:val="005A2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ACC"/>
    <w:rPr>
      <w:rFonts w:ascii="Tahoma" w:hAnsi="Tahoma" w:cs="Tahoma"/>
      <w:sz w:val="16"/>
      <w:szCs w:val="16"/>
    </w:rPr>
  </w:style>
  <w:style w:type="paragraph" w:styleId="Title">
    <w:name w:val="Title"/>
    <w:basedOn w:val="Normal"/>
    <w:next w:val="Normal"/>
    <w:link w:val="TitleChar"/>
    <w:uiPriority w:val="10"/>
    <w:qFormat/>
    <w:rsid w:val="008A0B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0BF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D2AA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F28E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78465">
      <w:bodyDiv w:val="1"/>
      <w:marLeft w:val="0"/>
      <w:marRight w:val="0"/>
      <w:marTop w:val="0"/>
      <w:marBottom w:val="0"/>
      <w:divBdr>
        <w:top w:val="none" w:sz="0" w:space="0" w:color="auto"/>
        <w:left w:val="none" w:sz="0" w:space="0" w:color="auto"/>
        <w:bottom w:val="none" w:sz="0" w:space="0" w:color="auto"/>
        <w:right w:val="none" w:sz="0" w:space="0" w:color="auto"/>
      </w:divBdr>
    </w:div>
    <w:div w:id="202755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1311</Words>
  <Characters>7478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IAEA</Company>
  <LinksUpToDate>false</LinksUpToDate>
  <CharactersWithSpaces>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TRKOV, Andrej</dc:creator>
  <cp:lastModifiedBy>CAPOTE NOY, Roberto Mario</cp:lastModifiedBy>
  <cp:revision>2</cp:revision>
  <cp:lastPrinted>2014-04-22T09:18:00Z</cp:lastPrinted>
  <dcterms:created xsi:type="dcterms:W3CDTF">2014-04-22T09:24:00Z</dcterms:created>
  <dcterms:modified xsi:type="dcterms:W3CDTF">2014-04-22T09:24:00Z</dcterms:modified>
</cp:coreProperties>
</file>